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45C1" w14:textId="309897BE" w:rsidR="002A759B" w:rsidRPr="002A759B" w:rsidRDefault="002A759B" w:rsidP="002A759B">
      <w:pPr>
        <w:spacing w:before="100" w:beforeAutospacing="1" w:after="100" w:afterAutospacing="1"/>
        <w:contextualSpacing/>
        <w:jc w:val="center"/>
        <w:rPr>
          <w:rFonts w:ascii="Times New Roman" w:eastAsia="Times New Roman" w:hAnsi="Times New Roman" w:cs="Times New Roman"/>
        </w:rPr>
      </w:pPr>
      <w:r w:rsidRPr="002A759B">
        <w:rPr>
          <w:rFonts w:ascii="TimesNewRomanPS" w:eastAsia="Times New Roman" w:hAnsi="TimesNewRomanPS" w:cs="Times New Roman"/>
          <w:b/>
          <w:bCs/>
        </w:rPr>
        <w:t>CLA RTP Policy (proposed revisions for student evaluations)</w:t>
      </w:r>
    </w:p>
    <w:p w14:paraId="3A204DEC" w14:textId="77777777" w:rsidR="00D57C7A" w:rsidRDefault="002A759B" w:rsidP="002A759B">
      <w:pPr>
        <w:spacing w:before="100" w:beforeAutospacing="1" w:after="100" w:afterAutospacing="1"/>
        <w:contextualSpacing/>
        <w:jc w:val="center"/>
        <w:rPr>
          <w:rFonts w:ascii="TimesNewRomanPS" w:eastAsia="Times New Roman" w:hAnsi="TimesNewRomanPS" w:cs="Times New Roman"/>
          <w:i/>
          <w:iCs/>
        </w:rPr>
      </w:pPr>
      <w:r w:rsidRPr="002A759B">
        <w:rPr>
          <w:rFonts w:ascii="TimesNewRomanPS" w:eastAsia="Times New Roman" w:hAnsi="TimesNewRomanPS" w:cs="Times New Roman"/>
          <w:i/>
          <w:iCs/>
        </w:rPr>
        <w:t xml:space="preserve">CLA Equity Task Force, Team 4: Raven Pfister &amp; Emily </w:t>
      </w:r>
      <w:proofErr w:type="spellStart"/>
      <w:r w:rsidRPr="002A759B">
        <w:rPr>
          <w:rFonts w:ascii="TimesNewRomanPS" w:eastAsia="Times New Roman" w:hAnsi="TimesNewRomanPS" w:cs="Times New Roman"/>
          <w:i/>
          <w:iCs/>
        </w:rPr>
        <w:t>Berquist</w:t>
      </w:r>
      <w:proofErr w:type="spellEnd"/>
      <w:r w:rsidRPr="002A759B">
        <w:rPr>
          <w:rFonts w:ascii="TimesNewRomanPS" w:eastAsia="Times New Roman" w:hAnsi="TimesNewRomanPS" w:cs="Times New Roman"/>
          <w:i/>
          <w:iCs/>
        </w:rPr>
        <w:t xml:space="preserve"> Soule, co-leads </w:t>
      </w:r>
    </w:p>
    <w:p w14:paraId="7D8EE4F6" w14:textId="79227646" w:rsidR="002A759B" w:rsidRPr="002A759B" w:rsidRDefault="002A759B" w:rsidP="002A759B">
      <w:pPr>
        <w:spacing w:before="100" w:beforeAutospacing="1" w:after="100" w:afterAutospacing="1"/>
        <w:contextualSpacing/>
        <w:jc w:val="center"/>
        <w:rPr>
          <w:rFonts w:ascii="Times New Roman" w:eastAsia="Times New Roman" w:hAnsi="Times New Roman" w:cs="Times New Roman"/>
        </w:rPr>
      </w:pPr>
      <w:r w:rsidRPr="002A759B">
        <w:rPr>
          <w:rFonts w:ascii="TimesNewRomanPS" w:eastAsia="Times New Roman" w:hAnsi="TimesNewRomanPS" w:cs="Times New Roman"/>
          <w:i/>
          <w:iCs/>
        </w:rPr>
        <w:t xml:space="preserve">Equity Task Force Members: </w:t>
      </w:r>
      <w:proofErr w:type="spellStart"/>
      <w:r w:rsidRPr="002A759B">
        <w:rPr>
          <w:rFonts w:ascii="TimesNewRomanPS" w:eastAsia="Times New Roman" w:hAnsi="TimesNewRomanPS" w:cs="Times New Roman"/>
          <w:i/>
          <w:iCs/>
        </w:rPr>
        <w:t>Linna</w:t>
      </w:r>
      <w:proofErr w:type="spellEnd"/>
      <w:r w:rsidRPr="002A759B">
        <w:rPr>
          <w:rFonts w:ascii="TimesNewRomanPS" w:eastAsia="Times New Roman" w:hAnsi="TimesNewRomanPS" w:cs="Times New Roman"/>
          <w:i/>
          <w:iCs/>
        </w:rPr>
        <w:t xml:space="preserve"> Li, Jacqueline Lyon, </w:t>
      </w:r>
      <w:r w:rsidR="00D57C7A">
        <w:rPr>
          <w:rFonts w:ascii="TimesNewRomanPS" w:eastAsia="Times New Roman" w:hAnsi="TimesNewRomanPS" w:cs="Times New Roman"/>
          <w:i/>
          <w:iCs/>
        </w:rPr>
        <w:t xml:space="preserve">&amp; </w:t>
      </w:r>
      <w:proofErr w:type="spellStart"/>
      <w:r w:rsidRPr="002A759B">
        <w:rPr>
          <w:rFonts w:ascii="TimesNewRomanPS" w:eastAsia="Times New Roman" w:hAnsi="TimesNewRomanPS" w:cs="Times New Roman"/>
          <w:i/>
          <w:iCs/>
        </w:rPr>
        <w:t>Varisa</w:t>
      </w:r>
      <w:proofErr w:type="spellEnd"/>
      <w:r w:rsidRPr="002A759B">
        <w:rPr>
          <w:rFonts w:ascii="TimesNewRomanPS" w:eastAsia="Times New Roman" w:hAnsi="TimesNewRomanPS" w:cs="Times New Roman"/>
          <w:i/>
          <w:iCs/>
        </w:rPr>
        <w:t xml:space="preserve"> </w:t>
      </w:r>
      <w:proofErr w:type="spellStart"/>
      <w:r w:rsidRPr="002A759B">
        <w:rPr>
          <w:rFonts w:ascii="TimesNewRomanPS" w:eastAsia="Times New Roman" w:hAnsi="TimesNewRomanPS" w:cs="Times New Roman"/>
          <w:i/>
          <w:iCs/>
        </w:rPr>
        <w:t>Patraporn</w:t>
      </w:r>
      <w:proofErr w:type="spellEnd"/>
    </w:p>
    <w:p w14:paraId="037EC001" w14:textId="77777777" w:rsidR="002A759B" w:rsidRDefault="002A759B" w:rsidP="002A759B">
      <w:pPr>
        <w:spacing w:before="100" w:beforeAutospacing="1" w:after="100" w:afterAutospacing="1"/>
        <w:contextualSpacing/>
        <w:rPr>
          <w:rFonts w:ascii="TimesNewRomanPS" w:eastAsia="Times New Roman" w:hAnsi="TimesNewRomanPS" w:cs="Times New Roman"/>
          <w:b/>
          <w:bCs/>
        </w:rPr>
      </w:pPr>
    </w:p>
    <w:p w14:paraId="6DF2A820" w14:textId="7E00E5D9" w:rsidR="002A759B" w:rsidRPr="002A759B" w:rsidRDefault="002A759B" w:rsidP="002A759B">
      <w:pPr>
        <w:spacing w:before="100" w:beforeAutospacing="1" w:after="100" w:afterAutospacing="1"/>
        <w:contextualSpacing/>
        <w:rPr>
          <w:rFonts w:ascii="Times New Roman" w:eastAsia="Times New Roman" w:hAnsi="Times New Roman" w:cs="Times New Roman"/>
        </w:rPr>
      </w:pPr>
      <w:r w:rsidRPr="002A759B">
        <w:rPr>
          <w:rFonts w:ascii="TimesNewRomanPS" w:eastAsia="Times New Roman" w:hAnsi="TimesNewRomanPS" w:cs="Times New Roman"/>
          <w:b/>
          <w:bCs/>
        </w:rPr>
        <w:t xml:space="preserve">2.1 Instruction and </w:t>
      </w:r>
      <w:proofErr w:type="gramStart"/>
      <w:r w:rsidRPr="002A759B">
        <w:rPr>
          <w:rFonts w:ascii="TimesNewRomanPS" w:eastAsia="Times New Roman" w:hAnsi="TimesNewRomanPS" w:cs="Times New Roman"/>
          <w:b/>
          <w:bCs/>
        </w:rPr>
        <w:t>Instructionally-Related</w:t>
      </w:r>
      <w:proofErr w:type="gramEnd"/>
      <w:r w:rsidRPr="002A759B">
        <w:rPr>
          <w:rFonts w:ascii="TimesNewRomanPS" w:eastAsia="Times New Roman" w:hAnsi="TimesNewRomanPS" w:cs="Times New Roman"/>
          <w:b/>
          <w:bCs/>
        </w:rPr>
        <w:t xml:space="preserve"> Activities </w:t>
      </w:r>
    </w:p>
    <w:p w14:paraId="194CFD9B" w14:textId="4524E813" w:rsidR="00F612AF" w:rsidRPr="008C0EA9" w:rsidRDefault="002A759B" w:rsidP="00F612AF">
      <w:pPr>
        <w:spacing w:before="100" w:beforeAutospacing="1" w:after="100" w:afterAutospacing="1"/>
        <w:contextualSpacing/>
        <w:rPr>
          <w:rFonts w:ascii="Times New Roman" w:eastAsia="Times New Roman" w:hAnsi="Times New Roman" w:cs="Times New Roman"/>
        </w:rPr>
      </w:pPr>
      <w:r w:rsidRPr="002A759B">
        <w:rPr>
          <w:rFonts w:ascii="TimesNewRomanPSMT" w:eastAsia="Times New Roman" w:hAnsi="TimesNewRomanPSMT" w:cs="Times New Roman"/>
        </w:rPr>
        <w:t xml:space="preserve">Effective instruction and </w:t>
      </w:r>
      <w:proofErr w:type="gramStart"/>
      <w:r w:rsidRPr="002A759B">
        <w:rPr>
          <w:rFonts w:ascii="TimesNewRomanPSMT" w:eastAsia="Times New Roman" w:hAnsi="TimesNewRomanPSMT" w:cs="Times New Roman"/>
        </w:rPr>
        <w:t>instructionally-related</w:t>
      </w:r>
      <w:proofErr w:type="gramEnd"/>
      <w:r w:rsidRPr="002A759B">
        <w:rPr>
          <w:rFonts w:ascii="TimesNewRomanPSMT" w:eastAsia="Times New Roman" w:hAnsi="TimesNewRomanPSMT" w:cs="Times New Roman"/>
        </w:rPr>
        <w:t xml:space="preserve"> activities within the College of Liberal Arts encompass a wide range of tasks and responsibilities. </w:t>
      </w:r>
      <w:r w:rsidR="008C0EA9" w:rsidRPr="00844DA4">
        <w:rPr>
          <w:rFonts w:ascii="TimesNewRomanPSMT" w:eastAsia="Times New Roman" w:hAnsi="TimesNewRomanPSMT" w:cs="Times New Roman"/>
          <w:i/>
          <w:iCs/>
          <w:color w:val="00AF4F"/>
        </w:rPr>
        <w:t>As per university-wide policy (revised 2023), “colleges and departments should employ multiple modes of evidence when assessing teaching effectiveness and must not rely significantly on student-perceptions-of-teaching forms as evidence.”</w:t>
      </w:r>
      <w:r w:rsidR="008C0EA9" w:rsidRPr="002A759B">
        <w:rPr>
          <w:rFonts w:ascii="TimesNewRomanPSMT" w:eastAsia="Times New Roman" w:hAnsi="TimesNewRomanPSMT" w:cs="Times New Roman"/>
          <w:color w:val="00AF4F"/>
        </w:rPr>
        <w:t xml:space="preserve"> </w:t>
      </w:r>
      <w:r w:rsidRPr="002A759B">
        <w:rPr>
          <w:rFonts w:ascii="TimesNewRomanPSMT" w:eastAsia="Times New Roman" w:hAnsi="TimesNewRomanPSMT" w:cs="Times New Roman"/>
        </w:rPr>
        <w:t xml:space="preserve">This section specifies criteria for the evaluation of a faculty member’s instruction and </w:t>
      </w:r>
      <w:proofErr w:type="gramStart"/>
      <w:r w:rsidRPr="002A759B">
        <w:rPr>
          <w:rFonts w:ascii="TimesNewRomanPSMT" w:eastAsia="Times New Roman" w:hAnsi="TimesNewRomanPSMT" w:cs="Times New Roman"/>
        </w:rPr>
        <w:t>instructionally-related</w:t>
      </w:r>
      <w:proofErr w:type="gramEnd"/>
      <w:r w:rsidRPr="002A759B">
        <w:rPr>
          <w:rFonts w:ascii="TimesNewRomanPSMT" w:eastAsia="Times New Roman" w:hAnsi="TimesNewRomanPSMT" w:cs="Times New Roman"/>
        </w:rPr>
        <w:t xml:space="preserve"> activities. Further, this section delineates the type and amount of documentation regarding a candidate’s instructional effectiveness. </w:t>
      </w:r>
    </w:p>
    <w:p w14:paraId="0F5D4C2D" w14:textId="77777777" w:rsidR="008C0EA9" w:rsidRDefault="008C0EA9" w:rsidP="00F612AF">
      <w:pPr>
        <w:spacing w:before="100" w:beforeAutospacing="1" w:after="100" w:afterAutospacing="1"/>
        <w:contextualSpacing/>
        <w:rPr>
          <w:rFonts w:ascii="Times New Roman" w:eastAsia="Times New Roman" w:hAnsi="Times New Roman" w:cs="Times New Roman"/>
        </w:rPr>
      </w:pPr>
    </w:p>
    <w:p w14:paraId="51B44EA7" w14:textId="77777777" w:rsidR="00F612AF" w:rsidRDefault="002A759B" w:rsidP="00F612AF">
      <w:pPr>
        <w:spacing w:before="100" w:beforeAutospacing="1" w:after="100" w:afterAutospacing="1"/>
        <w:contextualSpacing/>
        <w:rPr>
          <w:rFonts w:ascii="Times New Roman" w:eastAsia="Times New Roman" w:hAnsi="Times New Roman" w:cs="Times New Roman"/>
        </w:rPr>
      </w:pPr>
      <w:r w:rsidRPr="002A759B">
        <w:rPr>
          <w:rFonts w:ascii="TimesNewRomanPS" w:eastAsia="Times New Roman" w:hAnsi="TimesNewRomanPS" w:cs="Times New Roman"/>
          <w:b/>
          <w:bCs/>
        </w:rPr>
        <w:t xml:space="preserve">2.1.1. Instruction and </w:t>
      </w:r>
      <w:proofErr w:type="gramStart"/>
      <w:r w:rsidRPr="002A759B">
        <w:rPr>
          <w:rFonts w:ascii="TimesNewRomanPS" w:eastAsia="Times New Roman" w:hAnsi="TimesNewRomanPS" w:cs="Times New Roman"/>
          <w:b/>
          <w:bCs/>
        </w:rPr>
        <w:t>Instructionally-Related</w:t>
      </w:r>
      <w:proofErr w:type="gramEnd"/>
      <w:r w:rsidRPr="002A759B">
        <w:rPr>
          <w:rFonts w:ascii="TimesNewRomanPS" w:eastAsia="Times New Roman" w:hAnsi="TimesNewRomanPS" w:cs="Times New Roman"/>
          <w:b/>
          <w:bCs/>
        </w:rPr>
        <w:t xml:space="preserve"> Activities File</w:t>
      </w:r>
    </w:p>
    <w:p w14:paraId="4050FB28" w14:textId="055A66BD" w:rsidR="00F612AF" w:rsidRDefault="002A759B" w:rsidP="00F612AF">
      <w:pPr>
        <w:snapToGrid w:val="0"/>
        <w:contextualSpacing/>
        <w:rPr>
          <w:rFonts w:ascii="TimesNewRomanPSMT" w:eastAsia="Times New Roman" w:hAnsi="TimesNewRomanPSMT" w:cs="Times New Roman"/>
        </w:rPr>
      </w:pPr>
      <w:r w:rsidRPr="002A759B">
        <w:rPr>
          <w:rFonts w:ascii="TimesNewRomanPSMT" w:eastAsia="Times New Roman" w:hAnsi="TimesNewRomanPSMT" w:cs="Times New Roman"/>
        </w:rPr>
        <w:t xml:space="preserve">Candidates </w:t>
      </w:r>
      <w:r w:rsidRPr="002A759B">
        <w:rPr>
          <w:rFonts w:ascii="TimesNewRomanPS" w:eastAsia="Times New Roman" w:hAnsi="TimesNewRomanPS" w:cs="Times New Roman"/>
          <w:b/>
          <w:bCs/>
        </w:rPr>
        <w:t xml:space="preserve">must </w:t>
      </w:r>
      <w:r w:rsidRPr="002A759B">
        <w:rPr>
          <w:rFonts w:ascii="TimesNewRomanPSMT" w:eastAsia="Times New Roman" w:hAnsi="TimesNewRomanPSMT" w:cs="Times New Roman"/>
        </w:rPr>
        <w:t xml:space="preserve">submit: </w:t>
      </w:r>
    </w:p>
    <w:p w14:paraId="3A0BD8C2" w14:textId="77777777" w:rsidR="0098407A" w:rsidRDefault="0098407A" w:rsidP="0098407A">
      <w:pPr>
        <w:snapToGrid w:val="0"/>
        <w:contextualSpacing/>
        <w:rPr>
          <w:rFonts w:ascii="TimesNewRomanPSMT" w:eastAsia="Times New Roman" w:hAnsi="TimesNewRomanPSMT" w:cs="Times New Roman"/>
        </w:rPr>
      </w:pPr>
      <w:r>
        <w:rPr>
          <w:rFonts w:ascii="TimesNewRomanPSMT" w:eastAsia="Times New Roman" w:hAnsi="TimesNewRomanPSMT" w:cs="Times New Roman"/>
        </w:rPr>
        <w:tab/>
        <w:t xml:space="preserve">a. </w:t>
      </w:r>
      <w:r w:rsidR="002A759B" w:rsidRPr="00F612AF">
        <w:rPr>
          <w:rFonts w:ascii="TimesNewRomanPSMT" w:eastAsia="Times New Roman" w:hAnsi="TimesNewRomanPSMT" w:cs="Times New Roman"/>
        </w:rPr>
        <w:t xml:space="preserve">Narrative written on the fillable form </w:t>
      </w:r>
    </w:p>
    <w:p w14:paraId="6282BA90" w14:textId="77777777" w:rsidR="0098407A" w:rsidRDefault="0098407A" w:rsidP="0098407A">
      <w:pPr>
        <w:snapToGrid w:val="0"/>
        <w:contextualSpacing/>
        <w:rPr>
          <w:rFonts w:ascii="TimesNewRomanPSMT" w:eastAsia="Times New Roman" w:hAnsi="TimesNewRomanPSMT" w:cs="Times New Roman"/>
        </w:rPr>
      </w:pPr>
      <w:r>
        <w:rPr>
          <w:rFonts w:ascii="TimesNewRomanPSMT" w:eastAsia="Times New Roman" w:hAnsi="TimesNewRomanPSMT" w:cs="Times New Roman"/>
        </w:rPr>
        <w:tab/>
        <w:t xml:space="preserve">b. </w:t>
      </w:r>
      <w:r w:rsidR="002A759B" w:rsidRPr="002A759B">
        <w:rPr>
          <w:rFonts w:ascii="TimesNewRomanPSMT" w:eastAsia="Times New Roman" w:hAnsi="TimesNewRomanPSMT" w:cs="Times New Roman"/>
        </w:rPr>
        <w:t xml:space="preserve">Student course evaluation summaries for each course for which formal student </w:t>
      </w:r>
      <w:r>
        <w:rPr>
          <w:rFonts w:ascii="TimesNewRomanPSMT" w:eastAsia="Times New Roman" w:hAnsi="TimesNewRomanPSMT" w:cs="Times New Roman"/>
        </w:rPr>
        <w:tab/>
      </w:r>
      <w:r w:rsidR="002A759B" w:rsidRPr="002A759B">
        <w:rPr>
          <w:rFonts w:ascii="TimesNewRomanPSMT" w:eastAsia="Times New Roman" w:hAnsi="TimesNewRomanPSMT" w:cs="Times New Roman"/>
        </w:rPr>
        <w:t>evaluations were required during the period of review.</w:t>
      </w:r>
    </w:p>
    <w:p w14:paraId="4B78CDF9" w14:textId="77777777" w:rsidR="0098407A" w:rsidRDefault="0098407A" w:rsidP="0098407A">
      <w:pPr>
        <w:snapToGrid w:val="0"/>
        <w:contextualSpacing/>
        <w:rPr>
          <w:rFonts w:ascii="TimesNewRomanPSMT" w:eastAsia="Times New Roman" w:hAnsi="TimesNewRomanPSMT" w:cs="Times New Roman"/>
        </w:rPr>
      </w:pPr>
      <w:r>
        <w:rPr>
          <w:rFonts w:ascii="TimesNewRomanPSMT" w:eastAsia="Times New Roman" w:hAnsi="TimesNewRomanPSMT" w:cs="Times New Roman"/>
        </w:rPr>
        <w:tab/>
        <w:t xml:space="preserve">c. </w:t>
      </w:r>
      <w:r w:rsidR="002A759B" w:rsidRPr="002A759B">
        <w:rPr>
          <w:rFonts w:ascii="TimesNewRomanPSMT" w:eastAsia="Times New Roman" w:hAnsi="TimesNewRomanPSMT" w:cs="Times New Roman"/>
        </w:rPr>
        <w:t>For each course taught during the period of review:</w:t>
      </w:r>
    </w:p>
    <w:p w14:paraId="2681918B" w14:textId="77777777" w:rsidR="0098407A" w:rsidRDefault="0098407A" w:rsidP="0098407A">
      <w:pPr>
        <w:snapToGrid w:val="0"/>
        <w:contextualSpacing/>
        <w:rPr>
          <w:rFonts w:ascii="TimesNewRomanPSMT" w:eastAsia="Times New Roman" w:hAnsi="TimesNewRomanPSMT" w:cs="Times New Roman"/>
        </w:rPr>
      </w:pPr>
      <w:r>
        <w:rPr>
          <w:rFonts w:ascii="TimesNewRomanPSMT" w:eastAsia="Times New Roman" w:hAnsi="TimesNewRomanPSMT" w:cs="Times New Roman"/>
        </w:rPr>
        <w:tab/>
      </w:r>
      <w:r>
        <w:rPr>
          <w:rFonts w:ascii="TimesNewRomanPSMT" w:eastAsia="Times New Roman" w:hAnsi="TimesNewRomanPSMT" w:cs="Times New Roman"/>
        </w:rPr>
        <w:tab/>
        <w:t xml:space="preserve">1. </w:t>
      </w:r>
      <w:r w:rsidR="002A759B" w:rsidRPr="002A759B">
        <w:rPr>
          <w:rFonts w:ascii="TimesNewRomanPSMT" w:eastAsia="Times New Roman" w:hAnsi="TimesNewRomanPSMT" w:cs="Times New Roman"/>
        </w:rPr>
        <w:t>One (1) representative course syllabu</w:t>
      </w:r>
      <w:r w:rsidR="002A759B">
        <w:rPr>
          <w:rFonts w:ascii="TimesNewRomanPSMT" w:eastAsia="Times New Roman" w:hAnsi="TimesNewRomanPSMT" w:cs="Times New Roman"/>
        </w:rPr>
        <w:t>s</w:t>
      </w:r>
    </w:p>
    <w:p w14:paraId="7A732A60" w14:textId="77777777" w:rsidR="0098407A" w:rsidRDefault="0098407A" w:rsidP="0098407A">
      <w:pPr>
        <w:snapToGrid w:val="0"/>
        <w:contextualSpacing/>
        <w:rPr>
          <w:rFonts w:ascii="TimesNewRomanPSMT" w:eastAsia="Times New Roman" w:hAnsi="TimesNewRomanPSMT" w:cs="Times New Roman"/>
        </w:rPr>
      </w:pPr>
      <w:r>
        <w:rPr>
          <w:rFonts w:ascii="TimesNewRomanPSMT" w:eastAsia="Times New Roman" w:hAnsi="TimesNewRomanPSMT" w:cs="Times New Roman"/>
        </w:rPr>
        <w:tab/>
      </w:r>
      <w:r>
        <w:rPr>
          <w:rFonts w:ascii="TimesNewRomanPSMT" w:eastAsia="Times New Roman" w:hAnsi="TimesNewRomanPSMT" w:cs="Times New Roman"/>
        </w:rPr>
        <w:tab/>
        <w:t xml:space="preserve">2. </w:t>
      </w:r>
      <w:r w:rsidR="002A759B" w:rsidRPr="002A759B">
        <w:rPr>
          <w:rFonts w:ascii="TimesNewRomanPSMT" w:eastAsia="Times New Roman" w:hAnsi="TimesNewRomanPSMT" w:cs="Times New Roman"/>
        </w:rPr>
        <w:t>One (1) sample of an appropriate assessment of student learning outcomes</w:t>
      </w:r>
    </w:p>
    <w:p w14:paraId="0A6E080E" w14:textId="77777777" w:rsidR="0098407A" w:rsidRDefault="0098407A" w:rsidP="0098407A">
      <w:pPr>
        <w:snapToGrid w:val="0"/>
        <w:contextualSpacing/>
        <w:rPr>
          <w:rFonts w:ascii="TimesNewRomanPSMT" w:eastAsia="Times New Roman" w:hAnsi="TimesNewRomanPSMT" w:cs="Times New Roman"/>
        </w:rPr>
      </w:pPr>
      <w:r>
        <w:rPr>
          <w:rFonts w:ascii="TimesNewRomanPSMT" w:eastAsia="Times New Roman" w:hAnsi="TimesNewRomanPSMT" w:cs="Times New Roman"/>
        </w:rPr>
        <w:tab/>
      </w:r>
      <w:r>
        <w:rPr>
          <w:rFonts w:ascii="TimesNewRomanPSMT" w:eastAsia="Times New Roman" w:hAnsi="TimesNewRomanPSMT" w:cs="Times New Roman"/>
        </w:rPr>
        <w:tab/>
        <w:t xml:space="preserve">3. </w:t>
      </w:r>
      <w:r w:rsidR="002A759B" w:rsidRPr="002A759B">
        <w:rPr>
          <w:rFonts w:ascii="TimesNewRomanPSMT" w:eastAsia="Times New Roman" w:hAnsi="TimesNewRomanPSMT" w:cs="Times New Roman"/>
        </w:rPr>
        <w:t xml:space="preserve">One (1) sample of representative instructional materials not to exceed four (4) </w:t>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pages </w:t>
      </w:r>
    </w:p>
    <w:p w14:paraId="4068B322" w14:textId="188829A4" w:rsidR="002A759B" w:rsidRDefault="0098407A" w:rsidP="0098407A">
      <w:pPr>
        <w:snapToGrid w:val="0"/>
        <w:contextualSpacing/>
        <w:rPr>
          <w:rFonts w:ascii="TimesNewRomanPSMT" w:eastAsia="Times New Roman" w:hAnsi="TimesNewRomanPSMT" w:cs="Times New Roman"/>
        </w:rPr>
      </w:pPr>
      <w:r>
        <w:rPr>
          <w:rFonts w:ascii="TimesNewRomanPSMT" w:eastAsia="Times New Roman" w:hAnsi="TimesNewRomanPSMT" w:cs="Times New Roman"/>
        </w:rPr>
        <w:tab/>
        <w:t xml:space="preserve">d. </w:t>
      </w:r>
      <w:r w:rsidR="002A759B" w:rsidRPr="002A759B">
        <w:rPr>
          <w:rFonts w:ascii="TimesNewRomanPSMT" w:eastAsia="Times New Roman" w:hAnsi="TimesNewRomanPSMT" w:cs="Times New Roman"/>
        </w:rPr>
        <w:t xml:space="preserve">Academic Advisor Report, if applicable. </w:t>
      </w:r>
    </w:p>
    <w:p w14:paraId="3AB238F1" w14:textId="77777777" w:rsidR="0098407A" w:rsidRPr="0098407A" w:rsidRDefault="0098407A" w:rsidP="0098407A">
      <w:pPr>
        <w:snapToGrid w:val="0"/>
        <w:contextualSpacing/>
        <w:rPr>
          <w:rFonts w:ascii="TimesNewRomanPSMT" w:eastAsia="Times New Roman" w:hAnsi="TimesNewRomanPSMT" w:cs="Times New Roman"/>
        </w:rPr>
      </w:pPr>
    </w:p>
    <w:p w14:paraId="0BACF3CD" w14:textId="77777777" w:rsidR="002A759B" w:rsidRPr="002A759B" w:rsidRDefault="002A759B" w:rsidP="002A759B">
      <w:pPr>
        <w:spacing w:before="100" w:beforeAutospacing="1" w:after="100" w:afterAutospacing="1"/>
        <w:contextualSpacing/>
        <w:rPr>
          <w:rFonts w:ascii="Times New Roman" w:eastAsia="Times New Roman" w:hAnsi="Times New Roman" w:cs="Times New Roman"/>
        </w:rPr>
      </w:pPr>
      <w:r w:rsidRPr="002A759B">
        <w:rPr>
          <w:rFonts w:ascii="TimesNewRomanPS" w:eastAsia="Times New Roman" w:hAnsi="TimesNewRomanPS" w:cs="Times New Roman"/>
          <w:b/>
          <w:bCs/>
        </w:rPr>
        <w:t xml:space="preserve">2.1.2. Narrative of Instructional Philosophy and Practice </w:t>
      </w:r>
    </w:p>
    <w:p w14:paraId="0511A7CA" w14:textId="77777777" w:rsidR="002A759B" w:rsidRPr="002A759B" w:rsidRDefault="002A759B" w:rsidP="002A759B">
      <w:pPr>
        <w:spacing w:before="100" w:beforeAutospacing="1" w:after="100" w:afterAutospacing="1"/>
        <w:contextualSpacing/>
        <w:rPr>
          <w:rFonts w:ascii="Times New Roman" w:eastAsia="Times New Roman" w:hAnsi="Times New Roman" w:cs="Times New Roman"/>
        </w:rPr>
      </w:pPr>
      <w:r w:rsidRPr="002A759B">
        <w:rPr>
          <w:rFonts w:ascii="TimesNewRomanPSMT" w:eastAsia="Times New Roman" w:hAnsi="TimesNewRomanPSMT" w:cs="Times New Roman"/>
        </w:rPr>
        <w:t xml:space="preserve">The candidate's narrative of instructional philosophy and practice provides the context necessary for understanding and interpreting the candidate's instructional goals, materials, and accomplishments. </w:t>
      </w:r>
    </w:p>
    <w:p w14:paraId="5CCB1F7E" w14:textId="77777777" w:rsidR="002A759B" w:rsidRDefault="002A759B" w:rsidP="002A759B">
      <w:pPr>
        <w:spacing w:before="100" w:beforeAutospacing="1" w:after="100" w:afterAutospacing="1"/>
        <w:contextualSpacing/>
        <w:rPr>
          <w:rFonts w:ascii="TimesNewRomanPSMT" w:eastAsia="Times New Roman" w:hAnsi="TimesNewRomanPSMT" w:cs="Times New Roman"/>
        </w:rPr>
      </w:pPr>
    </w:p>
    <w:p w14:paraId="04733AEC" w14:textId="77777777" w:rsidR="00F612AF" w:rsidRDefault="002A759B" w:rsidP="00F612AF">
      <w:pPr>
        <w:adjustRightInd w:val="0"/>
        <w:snapToGrid w:val="0"/>
        <w:contextualSpacing/>
        <w:rPr>
          <w:rFonts w:ascii="TimesNewRomanPSMT" w:eastAsia="Times New Roman" w:hAnsi="TimesNewRomanPSMT" w:cs="Times New Roman"/>
        </w:rPr>
      </w:pPr>
      <w:r w:rsidRPr="002A759B">
        <w:rPr>
          <w:rFonts w:ascii="TimesNewRomanPSMT" w:eastAsia="Times New Roman" w:hAnsi="TimesNewRomanPSMT" w:cs="Times New Roman"/>
        </w:rPr>
        <w:t>This narrative, as further evidenced by submitted materials, shall address the following:</w:t>
      </w:r>
    </w:p>
    <w:p w14:paraId="11C7AC7A" w14:textId="34879058" w:rsidR="00F612AF" w:rsidRPr="0098407A" w:rsidRDefault="0098407A" w:rsidP="0098407A">
      <w:pPr>
        <w:adjustRightInd w:val="0"/>
        <w:snapToGrid w:val="0"/>
        <w:rPr>
          <w:rFonts w:ascii="TimesNewRomanPSMT" w:eastAsia="Times New Roman" w:hAnsi="TimesNewRomanPSMT" w:cs="Times New Roman"/>
        </w:rPr>
      </w:pPr>
      <w:r>
        <w:rPr>
          <w:rFonts w:ascii="TimesNewRomanPSMT" w:eastAsia="Times New Roman" w:hAnsi="TimesNewRomanPSMT" w:cs="Times New Roman"/>
        </w:rPr>
        <w:tab/>
        <w:t xml:space="preserve">a. </w:t>
      </w:r>
      <w:r w:rsidR="002A759B" w:rsidRPr="0098407A">
        <w:rPr>
          <w:rFonts w:ascii="TimesNewRomanPSMT" w:eastAsia="Times New Roman" w:hAnsi="TimesNewRomanPSMT" w:cs="Times New Roman"/>
        </w:rPr>
        <w:t>The overarching goals of the candidate's instructional practices</w:t>
      </w:r>
    </w:p>
    <w:p w14:paraId="6D7F3487" w14:textId="6EC9CDB1" w:rsidR="00F612AF" w:rsidRPr="0098407A" w:rsidRDefault="0098407A" w:rsidP="0098407A">
      <w:pPr>
        <w:adjustRightInd w:val="0"/>
        <w:snapToGrid w:val="0"/>
        <w:rPr>
          <w:rFonts w:ascii="TimesNewRomanPSMT" w:eastAsia="Times New Roman" w:hAnsi="TimesNewRomanPSMT" w:cs="Times New Roman"/>
        </w:rPr>
      </w:pPr>
      <w:r>
        <w:rPr>
          <w:rFonts w:ascii="TimesNewRomanPSMT" w:eastAsia="Times New Roman" w:hAnsi="TimesNewRomanPSMT" w:cs="Times New Roman"/>
        </w:rPr>
        <w:tab/>
        <w:t xml:space="preserve">b. </w:t>
      </w:r>
      <w:r w:rsidR="002A759B" w:rsidRPr="0098407A">
        <w:rPr>
          <w:rFonts w:ascii="TimesNewRomanPSMT" w:eastAsia="Times New Roman" w:hAnsi="TimesNewRomanPSMT" w:cs="Times New Roman"/>
        </w:rPr>
        <w:t>Relationship between RSCA and/or service activities to instruction</w:t>
      </w:r>
    </w:p>
    <w:p w14:paraId="35DF06E2" w14:textId="0169A1EB" w:rsidR="00F612AF" w:rsidRPr="0098407A" w:rsidRDefault="0098407A" w:rsidP="0098407A">
      <w:pPr>
        <w:adjustRightInd w:val="0"/>
        <w:snapToGrid w:val="0"/>
        <w:rPr>
          <w:rFonts w:ascii="TimesNewRomanPSMT" w:eastAsia="Times New Roman" w:hAnsi="TimesNewRomanPSMT" w:cs="Times New Roman"/>
        </w:rPr>
      </w:pPr>
      <w:r>
        <w:rPr>
          <w:rFonts w:ascii="TimesNewRomanPSMT" w:eastAsia="Times New Roman" w:hAnsi="TimesNewRomanPSMT" w:cs="Times New Roman"/>
        </w:rPr>
        <w:tab/>
        <w:t xml:space="preserve">c. </w:t>
      </w:r>
      <w:r w:rsidR="002A759B" w:rsidRPr="0098407A">
        <w:rPr>
          <w:rFonts w:ascii="TimesNewRomanPSMT" w:eastAsia="Times New Roman" w:hAnsi="TimesNewRomanPSMT" w:cs="Times New Roman"/>
        </w:rPr>
        <w:t>Teaching methodologies and their links to student assessment and learning outcomes</w:t>
      </w:r>
    </w:p>
    <w:p w14:paraId="33107513" w14:textId="5C714FC0" w:rsidR="00F612AF" w:rsidRPr="0098407A" w:rsidRDefault="0098407A" w:rsidP="0098407A">
      <w:pPr>
        <w:adjustRightInd w:val="0"/>
        <w:snapToGrid w:val="0"/>
        <w:rPr>
          <w:rFonts w:ascii="TimesNewRomanPSMT" w:eastAsia="Times New Roman" w:hAnsi="TimesNewRomanPSMT" w:cs="Times New Roman"/>
        </w:rPr>
      </w:pPr>
      <w:r>
        <w:rPr>
          <w:rFonts w:ascii="TimesNewRomanPSMT" w:eastAsia="Times New Roman" w:hAnsi="TimesNewRomanPSMT" w:cs="Times New Roman"/>
        </w:rPr>
        <w:tab/>
        <w:t xml:space="preserve">d. </w:t>
      </w:r>
      <w:r w:rsidR="002A759B" w:rsidRPr="0098407A">
        <w:rPr>
          <w:rFonts w:ascii="TimesNewRomanPSMT" w:eastAsia="Times New Roman" w:hAnsi="TimesNewRomanPSMT" w:cs="Times New Roman"/>
        </w:rPr>
        <w:t xml:space="preserve">Student course evaluations relative to level </w:t>
      </w:r>
    </w:p>
    <w:p w14:paraId="0C4BBE24" w14:textId="3F076BAA" w:rsidR="00F612AF" w:rsidRPr="0098407A" w:rsidRDefault="0098407A" w:rsidP="0098407A">
      <w:pPr>
        <w:adjustRightInd w:val="0"/>
        <w:snapToGrid w:val="0"/>
        <w:rPr>
          <w:rFonts w:ascii="TimesNewRomanPSMT" w:eastAsia="Times New Roman" w:hAnsi="TimesNewRomanPSMT" w:cs="Times New Roman"/>
        </w:rPr>
      </w:pPr>
      <w:r>
        <w:rPr>
          <w:rFonts w:ascii="TimesNewRomanPSMT" w:eastAsia="Times New Roman" w:hAnsi="TimesNewRomanPSMT" w:cs="Times New Roman"/>
        </w:rPr>
        <w:tab/>
        <w:t xml:space="preserve">e. </w:t>
      </w:r>
      <w:r w:rsidR="002A759B" w:rsidRPr="0098407A">
        <w:rPr>
          <w:rFonts w:ascii="TimesNewRomanPSMT" w:eastAsia="Times New Roman" w:hAnsi="TimesNewRomanPSMT" w:cs="Times New Roman"/>
        </w:rPr>
        <w:t>Grade distributions relative to level</w:t>
      </w:r>
    </w:p>
    <w:p w14:paraId="7528D2F4" w14:textId="3D81EBA8" w:rsidR="002A759B" w:rsidRPr="0098407A" w:rsidRDefault="0098407A" w:rsidP="0098407A">
      <w:pPr>
        <w:adjustRightInd w:val="0"/>
        <w:snapToGrid w:val="0"/>
        <w:rPr>
          <w:rFonts w:ascii="TimesNewRomanPSMT" w:eastAsia="Times New Roman" w:hAnsi="TimesNewRomanPSMT" w:cs="Times New Roman"/>
        </w:rPr>
      </w:pPr>
      <w:r>
        <w:rPr>
          <w:rFonts w:ascii="TimesNewRomanPSMT" w:eastAsia="Times New Roman" w:hAnsi="TimesNewRomanPSMT" w:cs="Times New Roman"/>
        </w:rPr>
        <w:tab/>
        <w:t xml:space="preserve">f. </w:t>
      </w:r>
      <w:r w:rsidR="002A759B" w:rsidRPr="0098407A">
        <w:rPr>
          <w:rFonts w:ascii="TimesNewRomanPSMT" w:eastAsia="Times New Roman" w:hAnsi="TimesNewRomanPSMT" w:cs="Times New Roman"/>
        </w:rPr>
        <w:t xml:space="preserve">Reflection on course evolution in response to feedback, professional development </w:t>
      </w:r>
      <w:r>
        <w:rPr>
          <w:rFonts w:ascii="TimesNewRomanPSMT" w:eastAsia="Times New Roman" w:hAnsi="TimesNewRomanPSMT" w:cs="Times New Roman"/>
        </w:rPr>
        <w:tab/>
      </w:r>
      <w:r w:rsidR="002A759B" w:rsidRPr="0098407A">
        <w:rPr>
          <w:rFonts w:ascii="TimesNewRomanPSMT" w:eastAsia="Times New Roman" w:hAnsi="TimesNewRomanPSMT" w:cs="Times New Roman"/>
        </w:rPr>
        <w:t xml:space="preserve">opportunities, and/or experimentation with instructional methodologies or assessments. </w:t>
      </w:r>
    </w:p>
    <w:p w14:paraId="3C12DF03" w14:textId="77777777" w:rsidR="00F612AF" w:rsidRDefault="00F612AF" w:rsidP="00F612AF">
      <w:pPr>
        <w:adjustRightInd w:val="0"/>
        <w:snapToGrid w:val="0"/>
        <w:contextualSpacing/>
        <w:rPr>
          <w:rFonts w:ascii="TimesNewRomanPSMT" w:eastAsia="Times New Roman" w:hAnsi="TimesNewRomanPSMT" w:cs="Times New Roman"/>
        </w:rPr>
      </w:pPr>
    </w:p>
    <w:p w14:paraId="06212639" w14:textId="77777777" w:rsidR="0098407A" w:rsidRDefault="002A759B" w:rsidP="0098407A">
      <w:pPr>
        <w:adjustRightInd w:val="0"/>
        <w:snapToGrid w:val="0"/>
        <w:contextualSpacing/>
        <w:rPr>
          <w:rFonts w:ascii="TimesNewRomanPS" w:eastAsia="Times New Roman" w:hAnsi="TimesNewRomanPS" w:cs="Times New Roman"/>
          <w:i/>
          <w:iCs/>
        </w:rPr>
      </w:pPr>
      <w:r w:rsidRPr="002A759B">
        <w:rPr>
          <w:rFonts w:ascii="TimesNewRomanPSMT" w:eastAsia="Times New Roman" w:hAnsi="TimesNewRomanPSMT" w:cs="Times New Roman"/>
        </w:rPr>
        <w:t xml:space="preserve">Furthermore, the narrative shall address the following </w:t>
      </w:r>
      <w:r w:rsidRPr="002A759B">
        <w:rPr>
          <w:rFonts w:ascii="TimesNewRomanPS" w:eastAsia="Times New Roman" w:hAnsi="TimesNewRomanPS" w:cs="Times New Roman"/>
          <w:i/>
          <w:iCs/>
        </w:rPr>
        <w:t>as appropriate:</w:t>
      </w:r>
    </w:p>
    <w:p w14:paraId="0DCF8608" w14:textId="77777777" w:rsidR="0098407A" w:rsidRPr="00844DA4" w:rsidRDefault="0098407A" w:rsidP="0098407A">
      <w:pPr>
        <w:adjustRightInd w:val="0"/>
        <w:snapToGrid w:val="0"/>
        <w:contextualSpacing/>
        <w:rPr>
          <w:rFonts w:ascii="TimesNewRomanPSMT" w:eastAsia="Times New Roman" w:hAnsi="TimesNewRomanPSMT" w:cs="Times New Roman"/>
          <w:i/>
          <w:iCs/>
          <w:color w:val="00AF4F"/>
        </w:rPr>
      </w:pPr>
      <w:r>
        <w:rPr>
          <w:rFonts w:ascii="TimesNewRomanPS" w:eastAsia="Times New Roman" w:hAnsi="TimesNewRomanPS" w:cs="Times New Roman"/>
          <w:i/>
          <w:iCs/>
        </w:rPr>
        <w:tab/>
      </w:r>
      <w:r w:rsidRPr="0098407A">
        <w:rPr>
          <w:rFonts w:ascii="TimesNewRomanPS" w:eastAsia="Times New Roman" w:hAnsi="TimesNewRomanPS" w:cs="Times New Roman"/>
        </w:rPr>
        <w:t>g</w:t>
      </w:r>
      <w:r>
        <w:rPr>
          <w:rFonts w:ascii="TimesNewRomanPS" w:eastAsia="Times New Roman" w:hAnsi="TimesNewRomanPS" w:cs="Times New Roman"/>
          <w:i/>
          <w:iCs/>
        </w:rPr>
        <w:t xml:space="preserve">. </w:t>
      </w:r>
      <w:r w:rsidR="002A759B" w:rsidRPr="00844DA4">
        <w:rPr>
          <w:rFonts w:ascii="TimesNewRomanPSMT" w:eastAsia="Times New Roman" w:hAnsi="TimesNewRomanPSMT" w:cs="Times New Roman"/>
          <w:i/>
          <w:iCs/>
          <w:color w:val="00B050"/>
        </w:rPr>
        <w:t>Explanation of student course evaluation data that differ (in a statistically significant</w:t>
      </w:r>
      <w:r w:rsidRPr="00844DA4">
        <w:rPr>
          <w:rFonts w:ascii="TimesNewRomanPSMT" w:eastAsia="Times New Roman" w:hAnsi="TimesNewRomanPSMT" w:cs="Times New Roman"/>
          <w:i/>
          <w:iCs/>
          <w:color w:val="00B050"/>
        </w:rPr>
        <w:tab/>
      </w:r>
      <w:r w:rsidRPr="00844DA4">
        <w:rPr>
          <w:rFonts w:ascii="TimesNewRomanPSMT" w:eastAsia="Times New Roman" w:hAnsi="TimesNewRomanPSMT" w:cs="Times New Roman"/>
          <w:i/>
          <w:iCs/>
          <w:color w:val="00B050"/>
        </w:rPr>
        <w:tab/>
      </w:r>
      <w:r w:rsidR="002A759B" w:rsidRPr="00844DA4">
        <w:rPr>
          <w:rFonts w:ascii="TimesNewRomanPSMT" w:eastAsia="Times New Roman" w:hAnsi="TimesNewRomanPSMT" w:cs="Times New Roman"/>
          <w:i/>
          <w:iCs/>
          <w:color w:val="00B050"/>
        </w:rPr>
        <w:t xml:space="preserve">way, e.g., </w:t>
      </w:r>
      <w:r w:rsidR="002A759B" w:rsidRPr="00844DA4">
        <w:rPr>
          <w:rFonts w:ascii="TimesNewRomanPS" w:eastAsia="Times New Roman" w:hAnsi="TimesNewRomanPS" w:cs="Times New Roman"/>
          <w:i/>
          <w:iCs/>
          <w:color w:val="00B050"/>
        </w:rPr>
        <w:t xml:space="preserve">p </w:t>
      </w:r>
      <w:r w:rsidR="002A759B" w:rsidRPr="00844DA4">
        <w:rPr>
          <w:rFonts w:ascii="TimesNewRomanPSMT" w:eastAsia="Times New Roman" w:hAnsi="TimesNewRomanPSMT" w:cs="Times New Roman"/>
          <w:i/>
          <w:iCs/>
          <w:color w:val="00B050"/>
        </w:rPr>
        <w:t xml:space="preserve">&lt; .05) from department and/or college norms relative to level or are </w:t>
      </w:r>
      <w:r w:rsidRPr="00844DA4">
        <w:rPr>
          <w:rFonts w:ascii="TimesNewRomanPSMT" w:eastAsia="Times New Roman" w:hAnsi="TimesNewRomanPSMT" w:cs="Times New Roman"/>
          <w:i/>
          <w:iCs/>
          <w:color w:val="00B050"/>
        </w:rPr>
        <w:tab/>
      </w:r>
      <w:r w:rsidR="002A759B" w:rsidRPr="00844DA4">
        <w:rPr>
          <w:rFonts w:ascii="TimesNewRomanPSMT" w:eastAsia="Times New Roman" w:hAnsi="TimesNewRomanPSMT" w:cs="Times New Roman"/>
          <w:i/>
          <w:iCs/>
          <w:color w:val="00B050"/>
        </w:rPr>
        <w:t xml:space="preserve">otherwise anomalous. Candidates and evaluators should keep in mind that while SPOT </w:t>
      </w:r>
      <w:r w:rsidRPr="00844DA4">
        <w:rPr>
          <w:rFonts w:ascii="TimesNewRomanPSMT" w:eastAsia="Times New Roman" w:hAnsi="TimesNewRomanPSMT" w:cs="Times New Roman"/>
          <w:i/>
          <w:iCs/>
          <w:color w:val="00B050"/>
        </w:rPr>
        <w:tab/>
      </w:r>
      <w:r w:rsidR="002A759B" w:rsidRPr="00844DA4">
        <w:rPr>
          <w:rFonts w:ascii="TimesNewRomanPSMT" w:eastAsia="Times New Roman" w:hAnsi="TimesNewRomanPSMT" w:cs="Times New Roman"/>
          <w:i/>
          <w:iCs/>
          <w:color w:val="00B050"/>
        </w:rPr>
        <w:t>Summary forms provide the mean averages (</w:t>
      </w:r>
      <w:r w:rsidR="002A759B" w:rsidRPr="00844DA4">
        <w:rPr>
          <w:rFonts w:ascii="TimesNewRomanPS" w:eastAsia="Times New Roman" w:hAnsi="TimesNewRomanPS" w:cs="Times New Roman"/>
          <w:i/>
          <w:iCs/>
          <w:color w:val="00B050"/>
        </w:rPr>
        <w:t>M</w:t>
      </w:r>
      <w:r w:rsidR="002A759B" w:rsidRPr="00844DA4">
        <w:rPr>
          <w:rFonts w:ascii="TimesNewRomanPSMT" w:eastAsia="Times New Roman" w:hAnsi="TimesNewRomanPSMT" w:cs="Times New Roman"/>
          <w:i/>
          <w:iCs/>
          <w:color w:val="00B050"/>
        </w:rPr>
        <w:t xml:space="preserve">) for the candidate, department, and </w:t>
      </w:r>
      <w:r w:rsidRPr="00844DA4">
        <w:rPr>
          <w:rFonts w:ascii="TimesNewRomanPSMT" w:eastAsia="Times New Roman" w:hAnsi="TimesNewRomanPSMT" w:cs="Times New Roman"/>
          <w:i/>
          <w:iCs/>
          <w:color w:val="00B050"/>
        </w:rPr>
        <w:tab/>
      </w:r>
      <w:r w:rsidR="002A759B" w:rsidRPr="00844DA4">
        <w:rPr>
          <w:rFonts w:ascii="TimesNewRomanPSMT" w:eastAsia="Times New Roman" w:hAnsi="TimesNewRomanPSMT" w:cs="Times New Roman"/>
          <w:i/>
          <w:iCs/>
          <w:color w:val="00B050"/>
        </w:rPr>
        <w:t xml:space="preserve">college, other measures of central tendency (i.e., median = </w:t>
      </w:r>
      <w:proofErr w:type="spellStart"/>
      <w:r w:rsidR="002A759B" w:rsidRPr="00844DA4">
        <w:rPr>
          <w:rFonts w:ascii="TimesNewRomanPS" w:eastAsia="Times New Roman" w:hAnsi="TimesNewRomanPS" w:cs="Times New Roman"/>
          <w:i/>
          <w:iCs/>
          <w:color w:val="00B050"/>
        </w:rPr>
        <w:t>Mdn</w:t>
      </w:r>
      <w:proofErr w:type="spellEnd"/>
      <w:r w:rsidR="002A759B" w:rsidRPr="00844DA4">
        <w:rPr>
          <w:rFonts w:ascii="TimesNewRomanPSMT" w:eastAsia="Times New Roman" w:hAnsi="TimesNewRomanPSMT" w:cs="Times New Roman"/>
          <w:i/>
          <w:iCs/>
          <w:color w:val="00B050"/>
        </w:rPr>
        <w:t xml:space="preserve">, or mode = </w:t>
      </w:r>
      <w:r w:rsidR="002A759B" w:rsidRPr="00844DA4">
        <w:rPr>
          <w:rFonts w:ascii="TimesNewRomanPS" w:eastAsia="Times New Roman" w:hAnsi="TimesNewRomanPS" w:cs="Times New Roman"/>
          <w:i/>
          <w:iCs/>
          <w:color w:val="00B050"/>
        </w:rPr>
        <w:t>Mo</w:t>
      </w:r>
      <w:r w:rsidR="002A759B" w:rsidRPr="00844DA4">
        <w:rPr>
          <w:rFonts w:ascii="TimesNewRomanPSMT" w:eastAsia="Times New Roman" w:hAnsi="TimesNewRomanPSMT" w:cs="Times New Roman"/>
          <w:i/>
          <w:iCs/>
          <w:color w:val="00B050"/>
        </w:rPr>
        <w:t xml:space="preserve">) may </w:t>
      </w:r>
      <w:r w:rsidRPr="00844DA4">
        <w:rPr>
          <w:rFonts w:ascii="TimesNewRomanPSMT" w:eastAsia="Times New Roman" w:hAnsi="TimesNewRomanPSMT" w:cs="Times New Roman"/>
          <w:i/>
          <w:iCs/>
          <w:color w:val="00B050"/>
        </w:rPr>
        <w:tab/>
      </w:r>
      <w:r w:rsidR="002A759B" w:rsidRPr="00844DA4">
        <w:rPr>
          <w:rFonts w:ascii="TimesNewRomanPSMT" w:eastAsia="Times New Roman" w:hAnsi="TimesNewRomanPSMT" w:cs="Times New Roman"/>
          <w:i/>
          <w:iCs/>
          <w:color w:val="00B050"/>
        </w:rPr>
        <w:t>provide more appropriate averages with small sample sizes or skewed distributions</w:t>
      </w:r>
      <w:r w:rsidR="00313F39" w:rsidRPr="00844DA4">
        <w:rPr>
          <w:rFonts w:ascii="TimesNewRomanPSMT" w:eastAsia="Times New Roman" w:hAnsi="TimesNewRomanPSMT" w:cs="Times New Roman"/>
          <w:i/>
          <w:iCs/>
          <w:color w:val="00B050"/>
        </w:rPr>
        <w:t xml:space="preserve"> </w:t>
      </w:r>
      <w:r w:rsidR="00313F39" w:rsidRPr="00844DA4">
        <w:rPr>
          <w:rFonts w:ascii="TimesNewRomanPSMT" w:eastAsia="Times New Roman" w:hAnsi="TimesNewRomanPSMT" w:cs="Times New Roman"/>
          <w:i/>
          <w:iCs/>
          <w:color w:val="00AF4F"/>
        </w:rPr>
        <w:t xml:space="preserve">and </w:t>
      </w:r>
      <w:r w:rsidRPr="00844DA4">
        <w:rPr>
          <w:rFonts w:ascii="TimesNewRomanPSMT" w:eastAsia="Times New Roman" w:hAnsi="TimesNewRomanPSMT" w:cs="Times New Roman"/>
          <w:i/>
          <w:iCs/>
          <w:color w:val="00AF4F"/>
        </w:rPr>
        <w:lastRenderedPageBreak/>
        <w:tab/>
      </w:r>
      <w:r w:rsidR="00313F39" w:rsidRPr="00844DA4">
        <w:rPr>
          <w:rFonts w:ascii="TimesNewRomanPSMT" w:eastAsia="Times New Roman" w:hAnsi="TimesNewRomanPSMT" w:cs="Times New Roman"/>
          <w:i/>
          <w:iCs/>
          <w:color w:val="00AF4F"/>
        </w:rPr>
        <w:t>should be considered accordingly</w:t>
      </w:r>
      <w:r w:rsidR="002A759B" w:rsidRPr="00844DA4">
        <w:rPr>
          <w:rFonts w:ascii="TimesNewRomanPSMT" w:eastAsia="Times New Roman" w:hAnsi="TimesNewRomanPSMT" w:cs="Times New Roman"/>
          <w:i/>
          <w:iCs/>
          <w:color w:val="00AF4F"/>
        </w:rPr>
        <w:t>. If mean averages (</w:t>
      </w:r>
      <w:r w:rsidR="002A759B" w:rsidRPr="00844DA4">
        <w:rPr>
          <w:rFonts w:ascii="TimesNewRomanPS" w:eastAsia="Times New Roman" w:hAnsi="TimesNewRomanPS" w:cs="Times New Roman"/>
          <w:i/>
          <w:iCs/>
          <w:color w:val="00AF4F"/>
        </w:rPr>
        <w:t>M</w:t>
      </w:r>
      <w:r w:rsidR="002A759B" w:rsidRPr="00844DA4">
        <w:rPr>
          <w:rFonts w:ascii="TimesNewRomanPSMT" w:eastAsia="Times New Roman" w:hAnsi="TimesNewRomanPSMT" w:cs="Times New Roman"/>
          <w:i/>
          <w:iCs/>
          <w:color w:val="00AF4F"/>
        </w:rPr>
        <w:t>) are used, standard deviations</w:t>
      </w:r>
      <w:r w:rsidRPr="00844DA4">
        <w:rPr>
          <w:rFonts w:ascii="TimesNewRomanPSMT" w:eastAsia="Times New Roman" w:hAnsi="TimesNewRomanPSMT" w:cs="Times New Roman"/>
          <w:i/>
          <w:iCs/>
          <w:color w:val="00AF4F"/>
        </w:rPr>
        <w:tab/>
      </w:r>
      <w:r w:rsidRPr="00844DA4">
        <w:rPr>
          <w:rFonts w:ascii="TimesNewRomanPSMT" w:eastAsia="Times New Roman" w:hAnsi="TimesNewRomanPSMT" w:cs="Times New Roman"/>
          <w:i/>
          <w:iCs/>
          <w:color w:val="00AF4F"/>
        </w:rPr>
        <w:tab/>
      </w:r>
      <w:r w:rsidR="002A759B" w:rsidRPr="00844DA4">
        <w:rPr>
          <w:rFonts w:ascii="TimesNewRomanPSMT" w:eastAsia="Times New Roman" w:hAnsi="TimesNewRomanPSMT" w:cs="Times New Roman"/>
          <w:i/>
          <w:iCs/>
          <w:color w:val="00AF4F"/>
        </w:rPr>
        <w:t>(</w:t>
      </w:r>
      <w:r w:rsidR="002A759B" w:rsidRPr="00844DA4">
        <w:rPr>
          <w:rFonts w:ascii="TimesNewRomanPS" w:eastAsia="Times New Roman" w:hAnsi="TimesNewRomanPS" w:cs="Times New Roman"/>
          <w:i/>
          <w:iCs/>
          <w:color w:val="00AF4F"/>
        </w:rPr>
        <w:t>SD</w:t>
      </w:r>
      <w:r w:rsidR="002A759B" w:rsidRPr="00844DA4">
        <w:rPr>
          <w:rFonts w:ascii="TimesNewRomanPSMT" w:eastAsia="Times New Roman" w:hAnsi="TimesNewRomanPSMT" w:cs="Times New Roman"/>
          <w:i/>
          <w:iCs/>
          <w:color w:val="00AF4F"/>
        </w:rPr>
        <w:t xml:space="preserve">) must also be considered, </w:t>
      </w:r>
      <w:r w:rsidR="00313F39" w:rsidRPr="00844DA4">
        <w:rPr>
          <w:rFonts w:ascii="TimesNewRomanPSMT" w:eastAsia="Times New Roman" w:hAnsi="TimesNewRomanPSMT" w:cs="Times New Roman"/>
          <w:i/>
          <w:iCs/>
          <w:color w:val="00AF4F"/>
        </w:rPr>
        <w:t xml:space="preserve">and </w:t>
      </w:r>
      <w:r w:rsidRPr="00844DA4">
        <w:rPr>
          <w:rFonts w:ascii="TimesNewRomanPSMT" w:eastAsia="Times New Roman" w:hAnsi="TimesNewRomanPSMT" w:cs="Times New Roman"/>
          <w:i/>
          <w:iCs/>
          <w:color w:val="00AF4F"/>
        </w:rPr>
        <w:t xml:space="preserve">candidates should provide </w:t>
      </w:r>
      <w:r w:rsidR="00313F39" w:rsidRPr="00844DA4">
        <w:rPr>
          <w:rFonts w:ascii="TimesNewRomanPSMT" w:eastAsia="Times New Roman" w:hAnsi="TimesNewRomanPSMT" w:cs="Times New Roman"/>
          <w:i/>
          <w:iCs/>
          <w:color w:val="00AF4F"/>
        </w:rPr>
        <w:t>explanations for</w:t>
      </w:r>
      <w:r w:rsidR="002A759B" w:rsidRPr="00844DA4">
        <w:rPr>
          <w:rFonts w:ascii="TimesNewRomanPSMT" w:eastAsia="Times New Roman" w:hAnsi="TimesNewRomanPSMT" w:cs="Times New Roman"/>
          <w:i/>
          <w:iCs/>
          <w:color w:val="00AF4F"/>
        </w:rPr>
        <w:t xml:space="preserve"> large </w:t>
      </w:r>
      <w:r w:rsidRPr="00844DA4">
        <w:rPr>
          <w:rFonts w:ascii="TimesNewRomanPSMT" w:eastAsia="Times New Roman" w:hAnsi="TimesNewRomanPSMT" w:cs="Times New Roman"/>
          <w:i/>
          <w:iCs/>
          <w:color w:val="00AF4F"/>
        </w:rPr>
        <w:tab/>
      </w:r>
      <w:r w:rsidR="002A759B" w:rsidRPr="00844DA4">
        <w:rPr>
          <w:rFonts w:ascii="TimesNewRomanPSMT" w:eastAsia="Times New Roman" w:hAnsi="TimesNewRomanPSMT" w:cs="Times New Roman"/>
          <w:i/>
          <w:iCs/>
          <w:color w:val="00AF4F"/>
        </w:rPr>
        <w:t xml:space="preserve">standard deviations (e.g., </w:t>
      </w:r>
      <w:r w:rsidR="002A759B" w:rsidRPr="00844DA4">
        <w:rPr>
          <w:rFonts w:ascii="TimesNewRomanPS" w:eastAsia="Times New Roman" w:hAnsi="TimesNewRomanPS" w:cs="Times New Roman"/>
          <w:i/>
          <w:iCs/>
          <w:color w:val="00AF4F"/>
        </w:rPr>
        <w:t xml:space="preserve">SD </w:t>
      </w:r>
      <w:r w:rsidR="002A759B" w:rsidRPr="00844DA4">
        <w:rPr>
          <w:rFonts w:ascii="TimesNewRomanPSMT" w:eastAsia="Times New Roman" w:hAnsi="TimesNewRomanPSMT" w:cs="Times New Roman"/>
          <w:i/>
          <w:iCs/>
          <w:color w:val="00AF4F"/>
        </w:rPr>
        <w:t xml:space="preserve">&gt; 1), or those that cluster around a mean that the candidate </w:t>
      </w:r>
      <w:r w:rsidRPr="00844DA4">
        <w:rPr>
          <w:rFonts w:ascii="TimesNewRomanPSMT" w:eastAsia="Times New Roman" w:hAnsi="TimesNewRomanPSMT" w:cs="Times New Roman"/>
          <w:i/>
          <w:iCs/>
          <w:color w:val="00AF4F"/>
        </w:rPr>
        <w:tab/>
      </w:r>
      <w:r w:rsidR="002A759B" w:rsidRPr="00844DA4">
        <w:rPr>
          <w:rFonts w:ascii="TimesNewRomanPSMT" w:eastAsia="Times New Roman" w:hAnsi="TimesNewRomanPSMT" w:cs="Times New Roman"/>
          <w:i/>
          <w:iCs/>
          <w:color w:val="00AF4F"/>
        </w:rPr>
        <w:t xml:space="preserve">believes is anomalous or inaccurate. </w:t>
      </w:r>
    </w:p>
    <w:p w14:paraId="724982FF" w14:textId="7CE5944D" w:rsidR="002A759B" w:rsidRPr="00844DA4" w:rsidRDefault="0098407A" w:rsidP="0098407A">
      <w:pPr>
        <w:adjustRightInd w:val="0"/>
        <w:snapToGrid w:val="0"/>
        <w:contextualSpacing/>
        <w:rPr>
          <w:rFonts w:ascii="TimesNewRomanPSMT" w:eastAsia="Times New Roman" w:hAnsi="TimesNewRomanPSMT" w:cs="Times New Roman"/>
          <w:i/>
          <w:iCs/>
          <w:color w:val="00B050"/>
        </w:rPr>
      </w:pPr>
      <w:r>
        <w:rPr>
          <w:rFonts w:ascii="TimesNewRomanPSMT" w:eastAsia="Times New Roman" w:hAnsi="TimesNewRomanPSMT" w:cs="Times New Roman"/>
          <w:color w:val="00AF4F"/>
        </w:rPr>
        <w:tab/>
      </w:r>
      <w:r w:rsidRPr="0098407A">
        <w:rPr>
          <w:rFonts w:ascii="TimesNewRomanPSMT" w:eastAsia="Times New Roman" w:hAnsi="TimesNewRomanPSMT" w:cs="Times New Roman"/>
          <w:color w:val="000000" w:themeColor="text1"/>
        </w:rPr>
        <w:t>h</w:t>
      </w:r>
      <w:r w:rsidRPr="00B50AFB">
        <w:rPr>
          <w:rFonts w:ascii="TimesNewRomanPSMT" w:eastAsia="Times New Roman" w:hAnsi="TimesNewRomanPSMT" w:cs="Times New Roman"/>
          <w:color w:val="00B050"/>
        </w:rPr>
        <w:t xml:space="preserve">. </w:t>
      </w:r>
      <w:r w:rsidR="002A759B" w:rsidRPr="00844DA4">
        <w:rPr>
          <w:rFonts w:ascii="TimesNewRomanPSMT" w:eastAsia="Times New Roman" w:hAnsi="TimesNewRomanPSMT" w:cs="Times New Roman"/>
          <w:i/>
          <w:iCs/>
          <w:color w:val="00B050"/>
        </w:rPr>
        <w:t xml:space="preserve">Grade distributions that are statistically significantly different (e.g., </w:t>
      </w:r>
      <w:r w:rsidR="002A759B" w:rsidRPr="00844DA4">
        <w:rPr>
          <w:rFonts w:ascii="TimesNewRomanPS" w:eastAsia="Times New Roman" w:hAnsi="TimesNewRomanPS" w:cs="Times New Roman"/>
          <w:i/>
          <w:iCs/>
          <w:color w:val="00B050"/>
        </w:rPr>
        <w:t xml:space="preserve">p </w:t>
      </w:r>
      <w:r w:rsidR="002A759B" w:rsidRPr="00844DA4">
        <w:rPr>
          <w:rFonts w:ascii="TimesNewRomanPSMT" w:eastAsia="Times New Roman" w:hAnsi="TimesNewRomanPSMT" w:cs="Times New Roman"/>
          <w:i/>
          <w:iCs/>
          <w:color w:val="00B050"/>
        </w:rPr>
        <w:t xml:space="preserve">&lt; .05) from </w:t>
      </w:r>
      <w:r w:rsidRPr="00844DA4">
        <w:rPr>
          <w:rFonts w:ascii="TimesNewRomanPSMT" w:eastAsia="Times New Roman" w:hAnsi="TimesNewRomanPSMT" w:cs="Times New Roman"/>
          <w:i/>
          <w:iCs/>
          <w:color w:val="00B050"/>
        </w:rPr>
        <w:tab/>
      </w:r>
      <w:r w:rsidR="002A759B" w:rsidRPr="00844DA4">
        <w:rPr>
          <w:rFonts w:ascii="TimesNewRomanPSMT" w:eastAsia="Times New Roman" w:hAnsi="TimesNewRomanPSMT" w:cs="Times New Roman"/>
          <w:i/>
          <w:iCs/>
          <w:color w:val="00B050"/>
        </w:rPr>
        <w:t>department norms, again considering the various measures of central tendency</w:t>
      </w:r>
      <w:r w:rsidR="00844DA4">
        <w:rPr>
          <w:rFonts w:ascii="TimesNewRomanPSMT" w:eastAsia="Times New Roman" w:hAnsi="TimesNewRomanPSMT" w:cs="Times New Roman"/>
          <w:i/>
          <w:iCs/>
          <w:color w:val="00B050"/>
        </w:rPr>
        <w:tab/>
      </w:r>
      <w:r w:rsidR="00844DA4">
        <w:rPr>
          <w:rFonts w:ascii="TimesNewRomanPSMT" w:eastAsia="Times New Roman" w:hAnsi="TimesNewRomanPSMT" w:cs="Times New Roman"/>
          <w:i/>
          <w:iCs/>
          <w:color w:val="00B050"/>
        </w:rPr>
        <w:tab/>
      </w:r>
      <w:r w:rsidR="00844DA4">
        <w:rPr>
          <w:rFonts w:ascii="TimesNewRomanPSMT" w:eastAsia="Times New Roman" w:hAnsi="TimesNewRomanPSMT" w:cs="Times New Roman"/>
          <w:i/>
          <w:iCs/>
          <w:color w:val="00B050"/>
        </w:rPr>
        <w:tab/>
      </w:r>
      <w:r w:rsidR="002A759B" w:rsidRPr="00844DA4">
        <w:rPr>
          <w:rFonts w:ascii="TimesNewRomanPSMT" w:eastAsia="Times New Roman" w:hAnsi="TimesNewRomanPSMT" w:cs="Times New Roman"/>
          <w:i/>
          <w:iCs/>
          <w:color w:val="00B050"/>
        </w:rPr>
        <w:t xml:space="preserve">mentioned above. </w:t>
      </w:r>
    </w:p>
    <w:p w14:paraId="22CEC762" w14:textId="77777777" w:rsidR="0098407A" w:rsidRDefault="0098407A" w:rsidP="002A759B">
      <w:pPr>
        <w:spacing w:before="100" w:beforeAutospacing="1" w:after="100" w:afterAutospacing="1"/>
        <w:contextualSpacing/>
        <w:rPr>
          <w:rFonts w:ascii="TimesNewRomanPS" w:eastAsia="Times New Roman" w:hAnsi="TimesNewRomanPS" w:cs="Times New Roman"/>
          <w:b/>
          <w:bCs/>
        </w:rPr>
      </w:pPr>
    </w:p>
    <w:p w14:paraId="09336EBF" w14:textId="4C4C365F" w:rsidR="002A759B" w:rsidRPr="002A759B" w:rsidRDefault="002A759B" w:rsidP="002A759B">
      <w:pPr>
        <w:spacing w:before="100" w:beforeAutospacing="1" w:after="100" w:afterAutospacing="1"/>
        <w:contextualSpacing/>
        <w:rPr>
          <w:rFonts w:ascii="Times New Roman" w:eastAsia="Times New Roman" w:hAnsi="Times New Roman" w:cs="Times New Roman"/>
        </w:rPr>
      </w:pPr>
      <w:r w:rsidRPr="002A759B">
        <w:rPr>
          <w:rFonts w:ascii="TimesNewRomanPS" w:eastAsia="Times New Roman" w:hAnsi="TimesNewRomanPS" w:cs="Times New Roman"/>
          <w:b/>
          <w:bCs/>
        </w:rPr>
        <w:t xml:space="preserve">2.1.3 Instruction and </w:t>
      </w:r>
      <w:proofErr w:type="gramStart"/>
      <w:r w:rsidRPr="002A759B">
        <w:rPr>
          <w:rFonts w:ascii="TimesNewRomanPS" w:eastAsia="Times New Roman" w:hAnsi="TimesNewRomanPS" w:cs="Times New Roman"/>
          <w:b/>
          <w:bCs/>
        </w:rPr>
        <w:t>Instructionally-Related</w:t>
      </w:r>
      <w:proofErr w:type="gramEnd"/>
      <w:r w:rsidRPr="002A759B">
        <w:rPr>
          <w:rFonts w:ascii="TimesNewRomanPS" w:eastAsia="Times New Roman" w:hAnsi="TimesNewRomanPS" w:cs="Times New Roman"/>
          <w:b/>
          <w:bCs/>
        </w:rPr>
        <w:t xml:space="preserve"> Materials </w:t>
      </w:r>
    </w:p>
    <w:p w14:paraId="56A01B7E" w14:textId="77777777" w:rsidR="00095F8A" w:rsidRDefault="002A759B" w:rsidP="00095F8A">
      <w:pPr>
        <w:adjustRightInd w:val="0"/>
        <w:snapToGrid w:val="0"/>
        <w:contextualSpacing/>
        <w:rPr>
          <w:rFonts w:ascii="TimesNewRomanPSMT" w:eastAsia="Times New Roman" w:hAnsi="TimesNewRomanPSMT" w:cs="Times New Roman"/>
        </w:rPr>
      </w:pPr>
      <w:r w:rsidRPr="00313F39">
        <w:rPr>
          <w:rFonts w:ascii="TimesNewRomanPSMT" w:eastAsia="Times New Roman" w:hAnsi="TimesNewRomanPSMT" w:cs="Times New Roman"/>
        </w:rPr>
        <w:t>For each course taught during the period under review, candidates will include only:</w:t>
      </w:r>
    </w:p>
    <w:p w14:paraId="7C35ED3E" w14:textId="1A3FD69D" w:rsidR="00095F8A" w:rsidRPr="0098407A" w:rsidRDefault="0098407A" w:rsidP="0098407A">
      <w:pPr>
        <w:adjustRightInd w:val="0"/>
        <w:snapToGrid w:val="0"/>
        <w:rPr>
          <w:rFonts w:ascii="TimesNewRomanPSMT" w:eastAsia="Times New Roman" w:hAnsi="TimesNewRomanPSMT" w:cs="Times New Roman"/>
        </w:rPr>
      </w:pPr>
      <w:r>
        <w:rPr>
          <w:rFonts w:ascii="TimesNewRomanPSMT" w:eastAsia="Times New Roman" w:hAnsi="TimesNewRomanPSMT" w:cs="Times New Roman"/>
        </w:rPr>
        <w:tab/>
        <w:t xml:space="preserve">a. </w:t>
      </w:r>
      <w:r w:rsidR="00313F39" w:rsidRPr="0098407A">
        <w:rPr>
          <w:rFonts w:ascii="TimesNewRomanPSMT" w:eastAsia="Times New Roman" w:hAnsi="TimesNewRomanPSMT" w:cs="Times New Roman"/>
        </w:rPr>
        <w:t>O</w:t>
      </w:r>
      <w:r w:rsidR="002A759B" w:rsidRPr="0098407A">
        <w:rPr>
          <w:rFonts w:ascii="TimesNewRomanPSMT" w:eastAsia="Times New Roman" w:hAnsi="TimesNewRomanPSMT" w:cs="Times New Roman"/>
        </w:rPr>
        <w:t>ne (1) representative syllabus</w:t>
      </w:r>
    </w:p>
    <w:p w14:paraId="46ADD561" w14:textId="01CC27B1" w:rsidR="00095F8A" w:rsidRPr="0098407A" w:rsidRDefault="0098407A" w:rsidP="0098407A">
      <w:pPr>
        <w:adjustRightInd w:val="0"/>
        <w:snapToGrid w:val="0"/>
        <w:rPr>
          <w:rFonts w:ascii="TimesNewRomanPSMT" w:eastAsia="Times New Roman" w:hAnsi="TimesNewRomanPSMT" w:cs="Times New Roman"/>
        </w:rPr>
      </w:pPr>
      <w:r>
        <w:rPr>
          <w:rFonts w:ascii="TimesNewRomanPSMT" w:eastAsia="Times New Roman" w:hAnsi="TimesNewRomanPSMT" w:cs="Times New Roman"/>
        </w:rPr>
        <w:tab/>
        <w:t xml:space="preserve">b. </w:t>
      </w:r>
      <w:r w:rsidR="00313F39" w:rsidRPr="0098407A">
        <w:rPr>
          <w:rFonts w:ascii="TimesNewRomanPSMT" w:eastAsia="Times New Roman" w:hAnsi="TimesNewRomanPSMT" w:cs="Times New Roman"/>
        </w:rPr>
        <w:t>O</w:t>
      </w:r>
      <w:r w:rsidR="002A759B" w:rsidRPr="0098407A">
        <w:rPr>
          <w:rFonts w:ascii="TimesNewRomanPSMT" w:eastAsia="Times New Roman" w:hAnsi="TimesNewRomanPSMT" w:cs="Times New Roman"/>
        </w:rPr>
        <w:t>ne (1) assess</w:t>
      </w:r>
      <w:r w:rsidR="00F612AF" w:rsidRPr="0098407A">
        <w:rPr>
          <w:rFonts w:ascii="TimesNewRomanPSMT" w:eastAsia="Times New Roman" w:hAnsi="TimesNewRomanPSMT" w:cs="Times New Roman"/>
        </w:rPr>
        <w:t>m</w:t>
      </w:r>
      <w:r w:rsidR="002A759B" w:rsidRPr="0098407A">
        <w:rPr>
          <w:rFonts w:ascii="TimesNewRomanPSMT" w:eastAsia="Times New Roman" w:hAnsi="TimesNewRomanPSMT" w:cs="Times New Roman"/>
        </w:rPr>
        <w:t>ent tool for student learning</w:t>
      </w:r>
    </w:p>
    <w:p w14:paraId="61C36E6E" w14:textId="6777C3E4" w:rsidR="00313F39" w:rsidRDefault="0098407A" w:rsidP="0098407A">
      <w:pPr>
        <w:adjustRightInd w:val="0"/>
        <w:snapToGrid w:val="0"/>
        <w:rPr>
          <w:rFonts w:ascii="TimesNewRomanPSMT" w:eastAsia="Times New Roman" w:hAnsi="TimesNewRomanPSMT" w:cs="Times New Roman"/>
        </w:rPr>
      </w:pPr>
      <w:r>
        <w:rPr>
          <w:rFonts w:ascii="TimesNewRomanPSMT" w:eastAsia="Times New Roman" w:hAnsi="TimesNewRomanPSMT" w:cs="Times New Roman"/>
        </w:rPr>
        <w:tab/>
        <w:t xml:space="preserve">c. </w:t>
      </w:r>
      <w:r w:rsidR="00313F39" w:rsidRPr="0098407A">
        <w:rPr>
          <w:rFonts w:ascii="TimesNewRomanPSMT" w:eastAsia="Times New Roman" w:hAnsi="TimesNewRomanPSMT" w:cs="Times New Roman"/>
        </w:rPr>
        <w:t>O</w:t>
      </w:r>
      <w:r w:rsidR="002A759B" w:rsidRPr="0098407A">
        <w:rPr>
          <w:rFonts w:ascii="TimesNewRomanPSMT" w:eastAsia="Times New Roman" w:hAnsi="TimesNewRomanPSMT" w:cs="Times New Roman"/>
        </w:rPr>
        <w:t xml:space="preserve">ne (1) sample of representative instructional materials not to exceed four (4) pages. </w:t>
      </w:r>
    </w:p>
    <w:p w14:paraId="78A2ECF9" w14:textId="77777777" w:rsidR="0098407A" w:rsidRPr="0098407A" w:rsidRDefault="0098407A" w:rsidP="0098407A">
      <w:pPr>
        <w:adjustRightInd w:val="0"/>
        <w:snapToGrid w:val="0"/>
        <w:rPr>
          <w:rFonts w:ascii="TimesNewRomanPSMT" w:eastAsia="Times New Roman" w:hAnsi="TimesNewRomanPSMT" w:cs="Times New Roman"/>
        </w:rPr>
      </w:pPr>
    </w:p>
    <w:p w14:paraId="04F6CA0B" w14:textId="77777777" w:rsidR="00095F8A" w:rsidRDefault="00095F8A" w:rsidP="002A759B">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rPr>
        <w:tab/>
      </w:r>
      <w:r w:rsidR="002A759B" w:rsidRPr="002A759B">
        <w:rPr>
          <w:rFonts w:ascii="TimesNewRomanPS" w:eastAsia="Times New Roman" w:hAnsi="TimesNewRomanPS" w:cs="Times New Roman"/>
          <w:b/>
          <w:bCs/>
        </w:rPr>
        <w:t xml:space="preserve">2.1.3.1 Syllabi </w:t>
      </w:r>
    </w:p>
    <w:p w14:paraId="5B790C03" w14:textId="32478933" w:rsidR="002A759B" w:rsidRPr="002A759B" w:rsidRDefault="00095F8A" w:rsidP="002A759B">
      <w:pPr>
        <w:spacing w:before="100" w:beforeAutospacing="1" w:after="100" w:afterAutospacing="1"/>
        <w:contextualSpacing/>
        <w:rPr>
          <w:rFonts w:ascii="Times New Roman" w:eastAsia="Times New Roman" w:hAnsi="Times New Roman" w:cs="Times New Roman"/>
        </w:rPr>
      </w:pPr>
      <w:r>
        <w:rPr>
          <w:rFonts w:ascii="Times New Roman" w:eastAsia="Times New Roman" w:hAnsi="Times New Roman" w:cs="Times New Roman"/>
        </w:rPr>
        <w:tab/>
      </w:r>
      <w:r w:rsidR="002A759B" w:rsidRPr="002A759B">
        <w:rPr>
          <w:rFonts w:ascii="TimesNewRomanPSMT" w:eastAsia="Times New Roman" w:hAnsi="TimesNewRomanPSMT" w:cs="Times New Roman"/>
        </w:rPr>
        <w:t xml:space="preserve">A representative syllabus for each course instructed during the period of review must be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submitted. For courses taught more than once in the period of review (e.g., GEOG444),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only one (1) representative syllabus shall be submitted. Candidates may include an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additional syllabus for no more than two (2) selected courses to demonstrate course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revisions and/or experimentation. Evaluation will consider syllabi content relative to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course level and catalog description. Syllabi must reflect currency in the discipline and be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consistent with current Academic Senate syllabus policies. </w:t>
      </w:r>
    </w:p>
    <w:p w14:paraId="4027F7C1" w14:textId="77777777" w:rsidR="00F612AF" w:rsidRDefault="00F612AF" w:rsidP="002A759B">
      <w:pPr>
        <w:spacing w:before="100" w:beforeAutospacing="1" w:after="100" w:afterAutospacing="1"/>
        <w:contextualSpacing/>
        <w:rPr>
          <w:rFonts w:ascii="TimesNewRomanPS" w:eastAsia="Times New Roman" w:hAnsi="TimesNewRomanPS" w:cs="Times New Roman"/>
          <w:b/>
          <w:bCs/>
        </w:rPr>
      </w:pPr>
    </w:p>
    <w:p w14:paraId="4DCEB118" w14:textId="7D672D7C" w:rsidR="002A759B" w:rsidRPr="002A759B" w:rsidRDefault="00095F8A" w:rsidP="002A759B">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rPr>
        <w:tab/>
      </w:r>
      <w:r w:rsidR="002A759B" w:rsidRPr="002A759B">
        <w:rPr>
          <w:rFonts w:ascii="TimesNewRomanPS" w:eastAsia="Times New Roman" w:hAnsi="TimesNewRomanPS" w:cs="Times New Roman"/>
          <w:b/>
          <w:bCs/>
        </w:rPr>
        <w:t xml:space="preserve">2.1.3.2 Assessment of Student Learning Outcomes </w:t>
      </w:r>
    </w:p>
    <w:p w14:paraId="0D6CD60A" w14:textId="538D14A5" w:rsidR="002A759B" w:rsidRPr="002A759B" w:rsidRDefault="00095F8A" w:rsidP="002A759B">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For each course taught during the period of review, candidates must submit one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assessment tool of student learning (e.g., comprehensive final assignment, exam, lab,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paper assignment, or project assignment). Evaluation will consider appropriateness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relative to course content, student learning goals and objectives, course level, and number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of enrolled students. </w:t>
      </w:r>
    </w:p>
    <w:p w14:paraId="5491B6BF" w14:textId="77777777" w:rsidR="00F612AF" w:rsidRDefault="00F612AF" w:rsidP="002A759B">
      <w:pPr>
        <w:spacing w:before="100" w:beforeAutospacing="1" w:after="100" w:afterAutospacing="1"/>
        <w:contextualSpacing/>
        <w:rPr>
          <w:rFonts w:ascii="TimesNewRomanPS" w:eastAsia="Times New Roman" w:hAnsi="TimesNewRomanPS" w:cs="Times New Roman"/>
          <w:b/>
          <w:bCs/>
        </w:rPr>
      </w:pPr>
    </w:p>
    <w:p w14:paraId="235BFBD3" w14:textId="665DCE43" w:rsidR="002A759B" w:rsidRPr="002A759B" w:rsidRDefault="00095F8A" w:rsidP="002A759B">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rPr>
        <w:tab/>
      </w:r>
      <w:r w:rsidR="002A759B" w:rsidRPr="002A759B">
        <w:rPr>
          <w:rFonts w:ascii="TimesNewRomanPS" w:eastAsia="Times New Roman" w:hAnsi="TimesNewRomanPS" w:cs="Times New Roman"/>
          <w:b/>
          <w:bCs/>
        </w:rPr>
        <w:t xml:space="preserve">2.1.3.3 Instructional Materials </w:t>
      </w:r>
    </w:p>
    <w:p w14:paraId="1AD89E5A" w14:textId="13E8680C" w:rsidR="002A759B" w:rsidRPr="002A759B" w:rsidRDefault="00095F8A" w:rsidP="002A759B">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For each course taught during the period of review, candidates must submit one (1)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sample of representative instructional materials not to exceed four (4) pages. Instructional </w:t>
      </w:r>
      <w:r>
        <w:rPr>
          <w:rFonts w:ascii="TimesNewRomanPSMT" w:eastAsia="Times New Roman" w:hAnsi="TimesNewRomanPSMT" w:cs="Times New Roman"/>
        </w:rPr>
        <w:tab/>
      </w:r>
      <w:r w:rsidR="002A759B" w:rsidRPr="002A759B">
        <w:rPr>
          <w:rFonts w:ascii="TimesNewRomanPSMT" w:eastAsia="Times New Roman" w:hAnsi="TimesNewRomanPSMT" w:cs="Times New Roman"/>
        </w:rPr>
        <w:t>materials include, but are not limited to, class handouts, lecture notes,</w:t>
      </w:r>
      <w:r w:rsidR="00F612AF">
        <w:rPr>
          <w:rFonts w:ascii="TimesNewRomanPSMT" w:eastAsia="Times New Roman" w:hAnsi="TimesNewRomanPSMT" w:cs="Times New Roman"/>
        </w:rPr>
        <w:t xml:space="preserve"> </w:t>
      </w:r>
      <w:r w:rsidR="002A759B" w:rsidRPr="002A759B">
        <w:rPr>
          <w:rFonts w:ascii="TimesNewRomanPSMT" w:eastAsia="Times New Roman" w:hAnsi="TimesNewRomanPSMT" w:cs="Times New Roman"/>
        </w:rPr>
        <w:t xml:space="preserve">web page printouts,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and PowerPoint slides. Media containing instructional materials can be discussed in the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narrative but may not be submitted. </w:t>
      </w:r>
    </w:p>
    <w:p w14:paraId="6472CF93" w14:textId="77777777" w:rsidR="00095F8A" w:rsidRDefault="00095F8A" w:rsidP="002A759B">
      <w:pPr>
        <w:spacing w:before="100" w:beforeAutospacing="1" w:after="100" w:afterAutospacing="1"/>
        <w:contextualSpacing/>
        <w:rPr>
          <w:rFonts w:ascii="TimesNewRomanPS" w:eastAsia="Times New Roman" w:hAnsi="TimesNewRomanPS" w:cs="Times New Roman"/>
          <w:b/>
          <w:bCs/>
        </w:rPr>
      </w:pPr>
    </w:p>
    <w:p w14:paraId="033FAE3A" w14:textId="55EC4729" w:rsidR="002A759B" w:rsidRPr="002A759B" w:rsidRDefault="002A759B" w:rsidP="002A759B">
      <w:pPr>
        <w:spacing w:before="100" w:beforeAutospacing="1" w:after="100" w:afterAutospacing="1"/>
        <w:contextualSpacing/>
        <w:rPr>
          <w:rFonts w:ascii="Times New Roman" w:eastAsia="Times New Roman" w:hAnsi="Times New Roman" w:cs="Times New Roman"/>
        </w:rPr>
      </w:pPr>
      <w:r w:rsidRPr="002A759B">
        <w:rPr>
          <w:rFonts w:ascii="TimesNewRomanPS" w:eastAsia="Times New Roman" w:hAnsi="TimesNewRomanPS" w:cs="Times New Roman"/>
          <w:b/>
          <w:bCs/>
        </w:rPr>
        <w:t xml:space="preserve">2.1.4 Peer Observation of Instruction </w:t>
      </w:r>
    </w:p>
    <w:p w14:paraId="3D0B9E25" w14:textId="77777777" w:rsidR="002A759B" w:rsidRPr="002A759B" w:rsidRDefault="002A759B" w:rsidP="002A759B">
      <w:pPr>
        <w:spacing w:before="100" w:beforeAutospacing="1" w:after="100" w:afterAutospacing="1"/>
        <w:contextualSpacing/>
        <w:rPr>
          <w:rFonts w:ascii="Times New Roman" w:eastAsia="Times New Roman" w:hAnsi="Times New Roman" w:cs="Times New Roman"/>
        </w:rPr>
      </w:pPr>
      <w:r w:rsidRPr="002A759B">
        <w:rPr>
          <w:rFonts w:ascii="TimesNewRomanPSMT" w:eastAsia="Times New Roman" w:hAnsi="TimesNewRomanPSMT" w:cs="Times New Roman"/>
        </w:rPr>
        <w:t xml:space="preserve">As part of the department RTP evaluation, the department committee may choose to perform a </w:t>
      </w:r>
      <w:r w:rsidRPr="00844DA4">
        <w:rPr>
          <w:rFonts w:ascii="TimesNewRomanPSMT" w:eastAsia="Times New Roman" w:hAnsi="TimesNewRomanPSMT" w:cs="Times New Roman"/>
          <w:i/>
          <w:iCs/>
          <w:color w:val="00B050"/>
        </w:rPr>
        <w:t xml:space="preserve">class </w:t>
      </w:r>
      <w:proofErr w:type="gramStart"/>
      <w:r w:rsidRPr="00844DA4">
        <w:rPr>
          <w:rFonts w:ascii="TimesNewRomanPSMT" w:eastAsia="Times New Roman" w:hAnsi="TimesNewRomanPSMT" w:cs="Times New Roman"/>
          <w:i/>
          <w:iCs/>
          <w:color w:val="00B050"/>
        </w:rPr>
        <w:t>observation</w:t>
      </w:r>
      <w:proofErr w:type="gramEnd"/>
      <w:r w:rsidRPr="00B50AFB">
        <w:rPr>
          <w:rFonts w:ascii="TimesNewRomanPSMT" w:eastAsia="Times New Roman" w:hAnsi="TimesNewRomanPSMT" w:cs="Times New Roman"/>
          <w:color w:val="00B050"/>
        </w:rPr>
        <w:t xml:space="preserve"> </w:t>
      </w:r>
      <w:r w:rsidRPr="002A759B">
        <w:rPr>
          <w:rFonts w:ascii="TimesNewRomanPSMT" w:eastAsia="Times New Roman" w:hAnsi="TimesNewRomanPSMT" w:cs="Times New Roman"/>
        </w:rPr>
        <w:t xml:space="preserve">or a candidate may choose to request such an observation. If performed, the evaluation must adhere to the CBA and comply with a consistent departmental rubric or procedure, including compliance with the requirement that notice be given at least five (5) days </w:t>
      </w:r>
    </w:p>
    <w:p w14:paraId="2B4A225E" w14:textId="77777777" w:rsidR="002A759B" w:rsidRPr="002A759B" w:rsidRDefault="002A759B" w:rsidP="002A759B">
      <w:pPr>
        <w:spacing w:before="100" w:beforeAutospacing="1" w:after="100" w:afterAutospacing="1"/>
        <w:contextualSpacing/>
        <w:rPr>
          <w:rFonts w:ascii="Times New Roman" w:eastAsia="Times New Roman" w:hAnsi="Times New Roman" w:cs="Times New Roman"/>
        </w:rPr>
      </w:pPr>
      <w:r w:rsidRPr="002A759B">
        <w:rPr>
          <w:rFonts w:ascii="TimesNewRomanPSMT" w:eastAsia="Times New Roman" w:hAnsi="TimesNewRomanPSMT" w:cs="Times New Roman"/>
        </w:rPr>
        <w:t xml:space="preserve">before a </w:t>
      </w:r>
      <w:r w:rsidRPr="00844DA4">
        <w:rPr>
          <w:rFonts w:ascii="TimesNewRomanPSMT" w:eastAsia="Times New Roman" w:hAnsi="TimesNewRomanPSMT" w:cs="Times New Roman"/>
          <w:i/>
          <w:iCs/>
          <w:color w:val="00B050"/>
        </w:rPr>
        <w:t>class visit</w:t>
      </w:r>
      <w:r w:rsidRPr="002A759B">
        <w:rPr>
          <w:rFonts w:ascii="TimesNewRomanPSMT" w:eastAsia="Times New Roman" w:hAnsi="TimesNewRomanPSMT" w:cs="Times New Roman"/>
        </w:rPr>
        <w:t xml:space="preserve">. The subsequent evaluation may be incorporated into the department RTP evaluation and/or submitted as a separate document during the open period. </w:t>
      </w:r>
    </w:p>
    <w:p w14:paraId="3B9D00F5" w14:textId="77777777" w:rsidR="00095F8A" w:rsidRDefault="00095F8A" w:rsidP="002A759B">
      <w:pPr>
        <w:spacing w:before="100" w:beforeAutospacing="1" w:after="100" w:afterAutospacing="1"/>
        <w:contextualSpacing/>
        <w:rPr>
          <w:rFonts w:ascii="TimesNewRomanPS" w:eastAsia="Times New Roman" w:hAnsi="TimesNewRomanPS" w:cs="Times New Roman"/>
          <w:b/>
          <w:bCs/>
        </w:rPr>
      </w:pPr>
    </w:p>
    <w:p w14:paraId="67EC8147" w14:textId="77777777" w:rsidR="008C0EA9" w:rsidRDefault="008C0EA9" w:rsidP="002A759B">
      <w:pPr>
        <w:spacing w:before="100" w:beforeAutospacing="1" w:after="100" w:afterAutospacing="1"/>
        <w:contextualSpacing/>
        <w:rPr>
          <w:rFonts w:ascii="TimesNewRomanPS" w:eastAsia="Times New Roman" w:hAnsi="TimesNewRomanPS" w:cs="Times New Roman"/>
          <w:b/>
          <w:bCs/>
        </w:rPr>
      </w:pPr>
    </w:p>
    <w:p w14:paraId="56154422" w14:textId="33E80AA1" w:rsidR="002A759B" w:rsidRPr="002A759B" w:rsidRDefault="002A759B" w:rsidP="002A759B">
      <w:pPr>
        <w:spacing w:before="100" w:beforeAutospacing="1" w:after="100" w:afterAutospacing="1"/>
        <w:contextualSpacing/>
        <w:rPr>
          <w:rFonts w:ascii="Times New Roman" w:eastAsia="Times New Roman" w:hAnsi="Times New Roman" w:cs="Times New Roman"/>
        </w:rPr>
      </w:pPr>
      <w:r w:rsidRPr="002A759B">
        <w:rPr>
          <w:rFonts w:ascii="TimesNewRomanPS" w:eastAsia="Times New Roman" w:hAnsi="TimesNewRomanPS" w:cs="Times New Roman"/>
          <w:b/>
          <w:bCs/>
        </w:rPr>
        <w:lastRenderedPageBreak/>
        <w:t xml:space="preserve">2.1.5 Grade Distributions </w:t>
      </w:r>
    </w:p>
    <w:p w14:paraId="08E3AEB3" w14:textId="0E774D6E" w:rsidR="002A759B" w:rsidRPr="00844DA4" w:rsidRDefault="002A759B" w:rsidP="002A759B">
      <w:pPr>
        <w:spacing w:before="100" w:beforeAutospacing="1" w:after="100" w:afterAutospacing="1"/>
        <w:contextualSpacing/>
        <w:rPr>
          <w:rFonts w:ascii="Times New Roman" w:eastAsia="Times New Roman" w:hAnsi="Times New Roman" w:cs="Times New Roman"/>
          <w:i/>
          <w:iCs/>
        </w:rPr>
      </w:pPr>
      <w:r w:rsidRPr="002A759B">
        <w:rPr>
          <w:rFonts w:ascii="TimesNewRomanPSMT" w:eastAsia="Times New Roman" w:hAnsi="TimesNewRomanPSMT" w:cs="Times New Roman"/>
        </w:rPr>
        <w:t xml:space="preserve">Differentiation among levels of student learning is an important responsibility of any teacher. Grade distributions provide a measure of grade leniency and severity. Further, they provide a useful measure for contextualizing assessment of student learning and student course evaluations. As </w:t>
      </w:r>
      <w:r w:rsidRPr="00844DA4">
        <w:rPr>
          <w:rFonts w:ascii="TimesNewRomanPSMT" w:eastAsia="Times New Roman" w:hAnsi="TimesNewRomanPSMT" w:cs="Times New Roman"/>
          <w:i/>
          <w:iCs/>
          <w:color w:val="00B050"/>
        </w:rPr>
        <w:t>grade distributions</w:t>
      </w:r>
      <w:r w:rsidRPr="00B50AFB">
        <w:rPr>
          <w:rFonts w:ascii="TimesNewRomanPSMT" w:eastAsia="Times New Roman" w:hAnsi="TimesNewRomanPSMT" w:cs="Times New Roman"/>
          <w:color w:val="00B050"/>
        </w:rPr>
        <w:t xml:space="preserve"> </w:t>
      </w:r>
      <w:r w:rsidRPr="00B50AFB">
        <w:rPr>
          <w:rFonts w:ascii="TimesNewRomanPSMT" w:eastAsia="Times New Roman" w:hAnsi="TimesNewRomanPSMT" w:cs="Times New Roman"/>
          <w:color w:val="000000" w:themeColor="text1"/>
        </w:rPr>
        <w:t xml:space="preserve">necessarily differ </w:t>
      </w:r>
      <w:r w:rsidRPr="002A759B">
        <w:rPr>
          <w:rFonts w:ascii="TimesNewRomanPSMT" w:eastAsia="Times New Roman" w:hAnsi="TimesNewRomanPSMT" w:cs="Times New Roman"/>
        </w:rPr>
        <w:t xml:space="preserve">from one group of students to another, evaluation will consider overall trends in grade distributions </w:t>
      </w:r>
      <w:r w:rsidRPr="00844DA4">
        <w:rPr>
          <w:rFonts w:ascii="TimesNewRomanPSMT" w:eastAsia="Times New Roman" w:hAnsi="TimesNewRomanPSMT" w:cs="Times New Roman"/>
          <w:i/>
          <w:iCs/>
          <w:color w:val="00AF4F"/>
        </w:rPr>
        <w:t>relative to the contextual factors listed in 2.1.7.1</w:t>
      </w:r>
      <w:r w:rsidR="00844DA4">
        <w:rPr>
          <w:rFonts w:ascii="TimesNewRomanPSMT" w:eastAsia="Times New Roman" w:hAnsi="TimesNewRomanPSMT" w:cs="Times New Roman"/>
          <w:i/>
          <w:iCs/>
          <w:color w:val="00AF4F"/>
        </w:rPr>
        <w:t>.</w:t>
      </w:r>
      <w:r w:rsidRPr="00844DA4">
        <w:rPr>
          <w:rFonts w:ascii="TimesNewRomanPSMT" w:eastAsia="Times New Roman" w:hAnsi="TimesNewRomanPSMT" w:cs="Times New Roman"/>
          <w:i/>
          <w:iCs/>
          <w:color w:val="00AF4F"/>
        </w:rPr>
        <w:t xml:space="preserve"> </w:t>
      </w:r>
    </w:p>
    <w:p w14:paraId="0BB743F8" w14:textId="77777777" w:rsidR="00095F8A" w:rsidRDefault="00095F8A" w:rsidP="002A759B">
      <w:pPr>
        <w:spacing w:before="100" w:beforeAutospacing="1" w:after="100" w:afterAutospacing="1"/>
        <w:contextualSpacing/>
        <w:rPr>
          <w:rFonts w:ascii="TimesNewRomanPS" w:eastAsia="Times New Roman" w:hAnsi="TimesNewRomanPS" w:cs="Times New Roman"/>
          <w:b/>
          <w:bCs/>
        </w:rPr>
      </w:pPr>
    </w:p>
    <w:p w14:paraId="21B1B8D5" w14:textId="113A7C17" w:rsidR="002A759B" w:rsidRPr="002A759B" w:rsidRDefault="002A759B" w:rsidP="002A759B">
      <w:pPr>
        <w:spacing w:before="100" w:beforeAutospacing="1" w:after="100" w:afterAutospacing="1"/>
        <w:contextualSpacing/>
        <w:rPr>
          <w:rFonts w:ascii="Times New Roman" w:eastAsia="Times New Roman" w:hAnsi="Times New Roman" w:cs="Times New Roman"/>
        </w:rPr>
      </w:pPr>
      <w:r w:rsidRPr="002A759B">
        <w:rPr>
          <w:rFonts w:ascii="TimesNewRomanPS" w:eastAsia="Times New Roman" w:hAnsi="TimesNewRomanPS" w:cs="Times New Roman"/>
          <w:b/>
          <w:bCs/>
        </w:rPr>
        <w:t xml:space="preserve">2.1.6 Academic Advisor Report </w:t>
      </w:r>
    </w:p>
    <w:p w14:paraId="3A0C98DF" w14:textId="77777777" w:rsidR="002A759B" w:rsidRPr="002A759B" w:rsidRDefault="002A759B" w:rsidP="002A759B">
      <w:pPr>
        <w:spacing w:before="100" w:beforeAutospacing="1" w:after="100" w:afterAutospacing="1"/>
        <w:contextualSpacing/>
        <w:rPr>
          <w:rFonts w:ascii="Times New Roman" w:eastAsia="Times New Roman" w:hAnsi="Times New Roman" w:cs="Times New Roman"/>
        </w:rPr>
      </w:pPr>
      <w:r w:rsidRPr="002A759B">
        <w:rPr>
          <w:rFonts w:ascii="TimesNewRomanPSMT" w:eastAsia="Times New Roman" w:hAnsi="TimesNewRomanPSMT" w:cs="Times New Roman"/>
        </w:rPr>
        <w:t xml:space="preserve">Candidates who have received assigned time to provide formal student academic advising shall report on their activities per a consistent procedure approved by the Dean or designee. For RTP purposes, the report serves to document </w:t>
      </w:r>
      <w:proofErr w:type="gramStart"/>
      <w:r w:rsidRPr="002A759B">
        <w:rPr>
          <w:rFonts w:ascii="TimesNewRomanPSMT" w:eastAsia="Times New Roman" w:hAnsi="TimesNewRomanPSMT" w:cs="Times New Roman"/>
        </w:rPr>
        <w:t>instructionally-related</w:t>
      </w:r>
      <w:proofErr w:type="gramEnd"/>
      <w:r w:rsidRPr="002A759B">
        <w:rPr>
          <w:rFonts w:ascii="TimesNewRomanPSMT" w:eastAsia="Times New Roman" w:hAnsi="TimesNewRomanPSMT" w:cs="Times New Roman"/>
        </w:rPr>
        <w:t xml:space="preserve"> activities for which assigned time is granted. </w:t>
      </w:r>
    </w:p>
    <w:p w14:paraId="5DF007A7" w14:textId="77777777" w:rsidR="00095F8A" w:rsidRDefault="00095F8A" w:rsidP="002A759B">
      <w:pPr>
        <w:spacing w:before="100" w:beforeAutospacing="1" w:after="100" w:afterAutospacing="1"/>
        <w:contextualSpacing/>
        <w:rPr>
          <w:rFonts w:ascii="TimesNewRomanPS" w:eastAsia="Times New Roman" w:hAnsi="TimesNewRomanPS" w:cs="Times New Roman"/>
          <w:b/>
          <w:bCs/>
        </w:rPr>
      </w:pPr>
    </w:p>
    <w:p w14:paraId="10518685" w14:textId="10B72AC2" w:rsidR="002A759B" w:rsidRPr="002A759B" w:rsidRDefault="002A759B" w:rsidP="002A759B">
      <w:pPr>
        <w:spacing w:before="100" w:beforeAutospacing="1" w:after="100" w:afterAutospacing="1"/>
        <w:contextualSpacing/>
        <w:rPr>
          <w:rFonts w:ascii="Times New Roman" w:eastAsia="Times New Roman" w:hAnsi="Times New Roman" w:cs="Times New Roman"/>
        </w:rPr>
      </w:pPr>
      <w:r w:rsidRPr="002A759B">
        <w:rPr>
          <w:rFonts w:ascii="TimesNewRomanPS" w:eastAsia="Times New Roman" w:hAnsi="TimesNewRomanPS" w:cs="Times New Roman"/>
          <w:b/>
          <w:bCs/>
        </w:rPr>
        <w:t xml:space="preserve">2.1.7 Evaluation of Student Response to Instruction </w:t>
      </w:r>
    </w:p>
    <w:p w14:paraId="22A25830" w14:textId="2A46199B" w:rsidR="002A759B" w:rsidRPr="00844DA4" w:rsidRDefault="002A759B" w:rsidP="002A759B">
      <w:pPr>
        <w:spacing w:before="100" w:beforeAutospacing="1" w:after="100" w:afterAutospacing="1"/>
        <w:contextualSpacing/>
        <w:rPr>
          <w:rFonts w:ascii="Times New Roman" w:eastAsia="Times New Roman" w:hAnsi="Times New Roman" w:cs="Times New Roman"/>
          <w:i/>
          <w:iCs/>
          <w:color w:val="00B050"/>
        </w:rPr>
      </w:pPr>
      <w:r w:rsidRPr="002A759B">
        <w:rPr>
          <w:rFonts w:ascii="TimesNewRomanPSMT" w:eastAsia="Times New Roman" w:hAnsi="TimesNewRomanPSMT" w:cs="Times New Roman"/>
        </w:rPr>
        <w:t xml:space="preserve">Student course evaluations complement the information obtained in the criteria stated above. </w:t>
      </w:r>
      <w:r w:rsidRPr="00844DA4">
        <w:rPr>
          <w:rFonts w:ascii="TimesNewRomanPSMT" w:eastAsia="Times New Roman" w:hAnsi="TimesNewRomanPSMT" w:cs="Times New Roman"/>
          <w:i/>
          <w:iCs/>
          <w:color w:val="00B050"/>
        </w:rPr>
        <w:t xml:space="preserve">University RTP policy states, “...student course evaluations shall be used to evaluate student response to instruction.” However, utilization of the university standard evaluation SPOT form is only one method of presenting student responses to learning and teaching effectiveness. Importantly, any single item on the SPOT form or the SPOT summaries—or the entire form, by itself and in isolation from other information—does not provide sufficient evidence of teaching effectiveness. Additional forms of evaluation may include, but are not limited </w:t>
      </w:r>
      <w:proofErr w:type="gramStart"/>
      <w:r w:rsidRPr="00844DA4">
        <w:rPr>
          <w:rFonts w:ascii="TimesNewRomanPSMT" w:eastAsia="Times New Roman" w:hAnsi="TimesNewRomanPSMT" w:cs="Times New Roman"/>
          <w:i/>
          <w:iCs/>
          <w:color w:val="00B050"/>
        </w:rPr>
        <w:t>to:</w:t>
      </w:r>
      <w:proofErr w:type="gramEnd"/>
      <w:r w:rsidRPr="00844DA4">
        <w:rPr>
          <w:rFonts w:ascii="TimesNewRomanPSMT" w:eastAsia="Times New Roman" w:hAnsi="TimesNewRomanPSMT" w:cs="Times New Roman"/>
          <w:i/>
          <w:iCs/>
          <w:color w:val="00B050"/>
        </w:rPr>
        <w:t xml:space="preserve"> class observations, examples of completed student work, and informal mid-semester evaluations administered directly by the faculty member. Therefore, SPOT data shall </w:t>
      </w:r>
      <w:r w:rsidR="00B50AFB" w:rsidRPr="00844DA4">
        <w:rPr>
          <w:rFonts w:ascii="TimesNewRomanPSMT" w:eastAsia="Times New Roman" w:hAnsi="TimesNewRomanPSMT" w:cs="Times New Roman"/>
          <w:i/>
          <w:iCs/>
          <w:color w:val="00B050"/>
        </w:rPr>
        <w:t xml:space="preserve">only </w:t>
      </w:r>
      <w:r w:rsidRPr="00844DA4">
        <w:rPr>
          <w:rFonts w:ascii="TimesNewRomanPSMT" w:eastAsia="Times New Roman" w:hAnsi="TimesNewRomanPSMT" w:cs="Times New Roman"/>
          <w:i/>
          <w:iCs/>
          <w:color w:val="00B050"/>
        </w:rPr>
        <w:t>be considered as</w:t>
      </w:r>
      <w:r w:rsidR="00B50AFB" w:rsidRPr="00844DA4">
        <w:rPr>
          <w:rFonts w:ascii="TimesNewRomanPSMT" w:eastAsia="Times New Roman" w:hAnsi="TimesNewRomanPSMT" w:cs="Times New Roman"/>
          <w:i/>
          <w:iCs/>
          <w:color w:val="00B050"/>
        </w:rPr>
        <w:t xml:space="preserve"> </w:t>
      </w:r>
      <w:r w:rsidRPr="00844DA4">
        <w:rPr>
          <w:rFonts w:ascii="TimesNewRomanPSMT" w:eastAsia="Times New Roman" w:hAnsi="TimesNewRomanPSMT" w:cs="Times New Roman"/>
          <w:i/>
          <w:iCs/>
          <w:color w:val="00B050"/>
        </w:rPr>
        <w:t xml:space="preserve">one part of the candidate’s portfolio, not the sole or primary source of evidence to evaluate teaching effectiveness. </w:t>
      </w:r>
    </w:p>
    <w:p w14:paraId="471C47E4" w14:textId="77777777" w:rsidR="00095F8A" w:rsidRPr="00844DA4" w:rsidRDefault="00095F8A" w:rsidP="002A759B">
      <w:pPr>
        <w:spacing w:before="100" w:beforeAutospacing="1" w:after="100" w:afterAutospacing="1"/>
        <w:contextualSpacing/>
        <w:rPr>
          <w:rFonts w:ascii="TimesNewRomanPSMT" w:eastAsia="Times New Roman" w:hAnsi="TimesNewRomanPSMT" w:cs="Times New Roman"/>
          <w:i/>
          <w:iCs/>
          <w:color w:val="00AF4F"/>
        </w:rPr>
      </w:pPr>
    </w:p>
    <w:p w14:paraId="491DE1EF" w14:textId="5C626DD4" w:rsidR="002A759B" w:rsidRPr="00844DA4" w:rsidRDefault="002A759B" w:rsidP="002A759B">
      <w:pPr>
        <w:spacing w:before="100" w:beforeAutospacing="1" w:after="100" w:afterAutospacing="1"/>
        <w:contextualSpacing/>
        <w:rPr>
          <w:rFonts w:ascii="Times New Roman" w:eastAsia="Times New Roman" w:hAnsi="Times New Roman" w:cs="Times New Roman"/>
          <w:i/>
          <w:iCs/>
        </w:rPr>
      </w:pPr>
      <w:r w:rsidRPr="00844DA4">
        <w:rPr>
          <w:rFonts w:ascii="TimesNewRomanPSMT" w:eastAsia="Times New Roman" w:hAnsi="TimesNewRomanPSMT" w:cs="Times New Roman"/>
          <w:i/>
          <w:iCs/>
          <w:color w:val="00AF4F"/>
        </w:rPr>
        <w:t xml:space="preserve">Extensive research has demonstrated that student evaluations are inherently flawed instruments that by their nature, do not accurately represent instructional effectiveness. Student evaluations demonstrate both environmental bias (bias based on course conditions, including but not limited to course difficulty, course modality, course meeting time, student interest level, and modality) and equity bias (bias towards the instructor because of aspect/s or perceived aspect/s of their identity, including but not limited to race/ethnicity, gender, ability, national origin, sexual orientation, and appearance). </w:t>
      </w:r>
    </w:p>
    <w:p w14:paraId="227A9B6D" w14:textId="77777777" w:rsidR="00095F8A" w:rsidRPr="00844DA4" w:rsidRDefault="00095F8A" w:rsidP="002A759B">
      <w:pPr>
        <w:spacing w:before="100" w:beforeAutospacing="1" w:after="100" w:afterAutospacing="1"/>
        <w:contextualSpacing/>
        <w:rPr>
          <w:rFonts w:ascii="TimesNewRomanPSMT" w:eastAsia="Times New Roman" w:hAnsi="TimesNewRomanPSMT" w:cs="Times New Roman"/>
          <w:i/>
          <w:iCs/>
          <w:color w:val="00AF4F"/>
        </w:rPr>
      </w:pPr>
    </w:p>
    <w:p w14:paraId="1A716604" w14:textId="22FEC28F" w:rsidR="002A759B" w:rsidRPr="00844DA4" w:rsidRDefault="002A759B" w:rsidP="002A759B">
      <w:pPr>
        <w:spacing w:before="100" w:beforeAutospacing="1" w:after="100" w:afterAutospacing="1"/>
        <w:contextualSpacing/>
        <w:rPr>
          <w:rFonts w:ascii="Times New Roman" w:eastAsia="Times New Roman" w:hAnsi="Times New Roman" w:cs="Times New Roman"/>
          <w:i/>
          <w:iCs/>
        </w:rPr>
      </w:pPr>
      <w:r w:rsidRPr="00844DA4">
        <w:rPr>
          <w:rFonts w:ascii="TimesNewRomanPSMT" w:eastAsia="Times New Roman" w:hAnsi="TimesNewRomanPSMT" w:cs="Times New Roman"/>
          <w:i/>
          <w:iCs/>
          <w:color w:val="00AF4F"/>
        </w:rPr>
        <w:t xml:space="preserve">Candidates who believe that their student evaluations have been impacted by any of these factors may choose to use their narratives to address their student evaluation scores. Candidates should also be aware that Provision 11.2 of the Collective Bargaining Agreement states that instructors may submit written rebuttals to student course evaluations when they believe that additional information is needed “or in the case of student bias.” If such a rebuttal is submitted, it is incumbent upon the evaluating committee to review it. </w:t>
      </w:r>
    </w:p>
    <w:p w14:paraId="042B0E76" w14:textId="77777777" w:rsidR="00095F8A" w:rsidRDefault="00095F8A" w:rsidP="002A759B">
      <w:pPr>
        <w:spacing w:before="100" w:beforeAutospacing="1" w:after="100" w:afterAutospacing="1"/>
        <w:contextualSpacing/>
        <w:rPr>
          <w:rFonts w:ascii="TimesNewRomanPSMT" w:eastAsia="Times New Roman" w:hAnsi="TimesNewRomanPSMT" w:cs="Times New Roman"/>
          <w:color w:val="FF0000"/>
        </w:rPr>
      </w:pPr>
    </w:p>
    <w:p w14:paraId="13F02D76" w14:textId="02D66CBC" w:rsidR="002A759B" w:rsidRPr="002A759B" w:rsidRDefault="00095F8A" w:rsidP="002A759B">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 New Roman"/>
          <w:color w:val="FF0000"/>
        </w:rPr>
        <w:tab/>
      </w:r>
      <w:r w:rsidR="002A759B" w:rsidRPr="002A759B">
        <w:rPr>
          <w:rFonts w:ascii="TimesNewRomanPS" w:eastAsia="Times New Roman" w:hAnsi="TimesNewRomanPS" w:cs="Times New Roman"/>
          <w:b/>
          <w:bCs/>
        </w:rPr>
        <w:t xml:space="preserve">2.1.7.1. Evaluation Relative to Context </w:t>
      </w:r>
    </w:p>
    <w:p w14:paraId="0060F436" w14:textId="77777777" w:rsidR="0098407A" w:rsidRDefault="00095F8A" w:rsidP="0098407A">
      <w:pPr>
        <w:adjustRightInd w:val="0"/>
        <w:snapToGrid w:val="0"/>
        <w:contextualSpacing/>
        <w:rPr>
          <w:rFonts w:ascii="TimesNewRomanPSMT" w:eastAsia="Times New Roman" w:hAnsi="TimesNewRomanPSMT" w:cs="Times New Roman"/>
        </w:rPr>
      </w:pP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Committees, chairs, and the dean shall evaluate student response to instruction relative to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context, including: </w:t>
      </w:r>
    </w:p>
    <w:p w14:paraId="1C71D593" w14:textId="77777777" w:rsidR="0098407A" w:rsidRDefault="0098407A" w:rsidP="0098407A">
      <w:pPr>
        <w:adjustRightInd w:val="0"/>
        <w:snapToGrid w:val="0"/>
        <w:contextualSpacing/>
        <w:rPr>
          <w:rFonts w:ascii="TimesNewRomanPSMT" w:eastAsia="Times New Roman" w:hAnsi="TimesNewRomanPSMT" w:cs="Times New Roman"/>
        </w:rPr>
      </w:pPr>
      <w:r>
        <w:rPr>
          <w:rFonts w:ascii="TimesNewRomanPSMT" w:eastAsia="Times New Roman" w:hAnsi="TimesNewRomanPSMT" w:cs="Times New Roman"/>
        </w:rPr>
        <w:tab/>
      </w:r>
      <w:r>
        <w:rPr>
          <w:rFonts w:ascii="TimesNewRomanPSMT" w:eastAsia="Times New Roman" w:hAnsi="TimesNewRomanPSMT" w:cs="Times New Roman"/>
        </w:rPr>
        <w:tab/>
        <w:t xml:space="preserve">a. </w:t>
      </w:r>
      <w:r w:rsidR="00095F8A" w:rsidRPr="0098407A">
        <w:rPr>
          <w:rFonts w:ascii="TimesNewRomanPSMT" w:eastAsia="Times New Roman" w:hAnsi="TimesNewRomanPSMT" w:cs="Times New Roman"/>
        </w:rPr>
        <w:t>Class characteristics</w:t>
      </w:r>
    </w:p>
    <w:p w14:paraId="4B1B0040" w14:textId="77777777" w:rsidR="0098407A" w:rsidRDefault="0098407A" w:rsidP="0098407A">
      <w:pPr>
        <w:adjustRightInd w:val="0"/>
        <w:snapToGrid w:val="0"/>
        <w:contextualSpacing/>
        <w:rPr>
          <w:rFonts w:ascii="TimesNewRomanPSMT" w:eastAsia="Times New Roman" w:hAnsi="TimesNewRomanPSMT" w:cs="Times New Roman"/>
        </w:rPr>
      </w:pPr>
      <w:r>
        <w:rPr>
          <w:rFonts w:ascii="TimesNewRomanPSMT" w:eastAsia="Times New Roman" w:hAnsi="TimesNewRomanPSMT" w:cs="Times New Roman"/>
        </w:rPr>
        <w:lastRenderedPageBreak/>
        <w:tab/>
      </w:r>
      <w:r>
        <w:rPr>
          <w:rFonts w:ascii="TimesNewRomanPSMT" w:eastAsia="Times New Roman" w:hAnsi="TimesNewRomanPSMT" w:cs="Times New Roman"/>
        </w:rPr>
        <w:tab/>
      </w:r>
      <w:r>
        <w:rPr>
          <w:rFonts w:ascii="TimesNewRomanPSMT" w:eastAsia="Times New Roman" w:hAnsi="TimesNewRomanPSMT" w:cs="Times New Roman"/>
        </w:rPr>
        <w:tab/>
        <w:t xml:space="preserve">1. </w:t>
      </w:r>
      <w:r w:rsidR="002A759B" w:rsidRPr="00095F8A">
        <w:rPr>
          <w:rFonts w:ascii="TimesNewRomanPSMT" w:eastAsia="Times New Roman" w:hAnsi="TimesNewRomanPSMT" w:cs="Times New Roman"/>
        </w:rPr>
        <w:t>Course level</w:t>
      </w:r>
    </w:p>
    <w:p w14:paraId="1C2F57C3" w14:textId="77777777" w:rsidR="0098407A" w:rsidRPr="00844DA4" w:rsidRDefault="0098407A" w:rsidP="0098407A">
      <w:pPr>
        <w:adjustRightInd w:val="0"/>
        <w:snapToGrid w:val="0"/>
        <w:contextualSpacing/>
        <w:rPr>
          <w:rFonts w:ascii="TimesNewRomanPSMT" w:eastAsia="Times New Roman" w:hAnsi="TimesNewRomanPSMT" w:cs="Times New Roman"/>
          <w:i/>
          <w:iCs/>
          <w:color w:val="00B050"/>
        </w:rPr>
      </w:pP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t xml:space="preserve">2. </w:t>
      </w:r>
      <w:r w:rsidR="002A759B" w:rsidRPr="00844DA4">
        <w:rPr>
          <w:rFonts w:ascii="TimesNewRomanPSMT" w:eastAsia="Times New Roman" w:hAnsi="TimesNewRomanPSMT" w:cs="Times New Roman"/>
          <w:i/>
          <w:iCs/>
          <w:color w:val="00B050"/>
        </w:rPr>
        <w:t xml:space="preserve">Course type (e.g., required, elective, writing intensive, </w:t>
      </w:r>
      <w:r w:rsidRPr="00844DA4">
        <w:rPr>
          <w:rFonts w:ascii="TimesNewRomanPSMT" w:eastAsia="Times New Roman" w:hAnsi="TimesNewRomanPSMT" w:cs="Times New Roman"/>
          <w:i/>
          <w:iCs/>
          <w:color w:val="00B050"/>
        </w:rPr>
        <w:tab/>
      </w:r>
      <w:r w:rsidRPr="00844DA4">
        <w:rPr>
          <w:rFonts w:ascii="TimesNewRomanPSMT" w:eastAsia="Times New Roman" w:hAnsi="TimesNewRomanPSMT" w:cs="Times New Roman"/>
          <w:i/>
          <w:iCs/>
          <w:color w:val="00B050"/>
        </w:rPr>
        <w:tab/>
      </w:r>
      <w:r w:rsidRPr="00844DA4">
        <w:rPr>
          <w:rFonts w:ascii="TimesNewRomanPSMT" w:eastAsia="Times New Roman" w:hAnsi="TimesNewRomanPSMT" w:cs="Times New Roman"/>
          <w:i/>
          <w:iCs/>
          <w:color w:val="00B050"/>
        </w:rPr>
        <w:tab/>
      </w:r>
      <w:r w:rsidRPr="00844DA4">
        <w:rPr>
          <w:rFonts w:ascii="TimesNewRomanPSMT" w:eastAsia="Times New Roman" w:hAnsi="TimesNewRomanPSMT" w:cs="Times New Roman"/>
          <w:i/>
          <w:iCs/>
          <w:color w:val="00B050"/>
        </w:rPr>
        <w:tab/>
      </w:r>
      <w:r w:rsidRPr="00844DA4">
        <w:rPr>
          <w:rFonts w:ascii="TimesNewRomanPSMT" w:eastAsia="Times New Roman" w:hAnsi="TimesNewRomanPSMT" w:cs="Times New Roman"/>
          <w:i/>
          <w:iCs/>
          <w:color w:val="00B050"/>
        </w:rPr>
        <w:tab/>
      </w:r>
      <w:r w:rsidRPr="00844DA4">
        <w:rPr>
          <w:rFonts w:ascii="TimesNewRomanPSMT" w:eastAsia="Times New Roman" w:hAnsi="TimesNewRomanPSMT" w:cs="Times New Roman"/>
          <w:i/>
          <w:iCs/>
          <w:color w:val="00B050"/>
        </w:rPr>
        <w:tab/>
      </w:r>
      <w:r w:rsidR="002A759B" w:rsidRPr="00844DA4">
        <w:rPr>
          <w:rFonts w:ascii="TimesNewRomanPSMT" w:eastAsia="Times New Roman" w:hAnsi="TimesNewRomanPSMT" w:cs="Times New Roman"/>
          <w:i/>
          <w:iCs/>
          <w:color w:val="00B050"/>
        </w:rPr>
        <w:t>online/asynchronous, for majors only or GE, etc.)</w:t>
      </w:r>
    </w:p>
    <w:p w14:paraId="52A83B54" w14:textId="718D1437" w:rsidR="0098407A" w:rsidRDefault="0098407A" w:rsidP="0098407A">
      <w:pPr>
        <w:adjustRightInd w:val="0"/>
        <w:snapToGrid w:val="0"/>
        <w:contextualSpacing/>
        <w:rPr>
          <w:rFonts w:ascii="TimesNewRomanPSMT" w:eastAsia="Times New Roman" w:hAnsi="TimesNewRomanPSMT" w:cs="Times New Roman"/>
        </w:rPr>
      </w:pP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t xml:space="preserve">3. </w:t>
      </w:r>
      <w:r w:rsidR="002A759B" w:rsidRPr="00095F8A">
        <w:rPr>
          <w:rFonts w:ascii="TimesNewRomanPSMT" w:eastAsia="Times New Roman" w:hAnsi="TimesNewRomanPSMT" w:cs="Times New Roman"/>
        </w:rPr>
        <w:t xml:space="preserve">Number of enrolled students </w:t>
      </w:r>
      <w:r w:rsidR="002A759B" w:rsidRPr="00844DA4">
        <w:rPr>
          <w:rFonts w:ascii="TimesNewRomanPSMT" w:eastAsia="Times New Roman" w:hAnsi="TimesNewRomanPSMT" w:cs="Times New Roman"/>
          <w:i/>
          <w:iCs/>
          <w:color w:val="00B050"/>
        </w:rPr>
        <w:t>(v. number of SPOT responses)</w:t>
      </w:r>
    </w:p>
    <w:p w14:paraId="4901C7FF" w14:textId="77777777" w:rsidR="0098407A" w:rsidRDefault="0098407A" w:rsidP="0098407A">
      <w:pPr>
        <w:adjustRightInd w:val="0"/>
        <w:snapToGrid w:val="0"/>
        <w:contextualSpacing/>
        <w:rPr>
          <w:rFonts w:ascii="TimesNewRomanPSMT" w:eastAsia="Times New Roman" w:hAnsi="TimesNewRomanPSMT" w:cs="Times New Roman"/>
        </w:rPr>
      </w:pP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t xml:space="preserve">4. </w:t>
      </w:r>
      <w:r w:rsidR="002A759B" w:rsidRPr="00095F8A">
        <w:rPr>
          <w:rFonts w:ascii="TimesNewRomanPSMT" w:eastAsia="Times New Roman" w:hAnsi="TimesNewRomanPSMT" w:cs="Times New Roman"/>
        </w:rPr>
        <w:t>Whether this was a new course preparation</w:t>
      </w:r>
    </w:p>
    <w:p w14:paraId="656948D7" w14:textId="77777777" w:rsidR="0098407A" w:rsidRDefault="0098407A" w:rsidP="0098407A">
      <w:pPr>
        <w:adjustRightInd w:val="0"/>
        <w:snapToGrid w:val="0"/>
        <w:contextualSpacing/>
        <w:rPr>
          <w:rFonts w:ascii="TimesNewRomanPSMT" w:eastAsia="Times New Roman" w:hAnsi="TimesNewRomanPSMT" w:cs="Times New Roman"/>
          <w:color w:val="00AF4F"/>
        </w:rPr>
      </w:pP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t xml:space="preserve">5. </w:t>
      </w:r>
      <w:r w:rsidR="002A759B" w:rsidRPr="00844DA4">
        <w:rPr>
          <w:rFonts w:ascii="TimesNewRomanPSMT" w:eastAsia="Times New Roman" w:hAnsi="TimesNewRomanPSMT" w:cs="Times New Roman"/>
          <w:i/>
          <w:iCs/>
          <w:color w:val="00AF4F"/>
        </w:rPr>
        <w:t>Course meeting time</w:t>
      </w:r>
      <w:r w:rsidR="002A759B" w:rsidRPr="00095F8A">
        <w:rPr>
          <w:rFonts w:ascii="TimesNewRomanPSMT" w:eastAsia="Times New Roman" w:hAnsi="TimesNewRomanPSMT" w:cs="Times New Roman"/>
          <w:color w:val="00AF4F"/>
        </w:rPr>
        <w:t xml:space="preserve"> </w:t>
      </w:r>
    </w:p>
    <w:p w14:paraId="03452F28" w14:textId="77777777" w:rsidR="0098407A" w:rsidRDefault="0098407A" w:rsidP="0098407A">
      <w:pPr>
        <w:adjustRightInd w:val="0"/>
        <w:snapToGrid w:val="0"/>
        <w:contextualSpacing/>
        <w:rPr>
          <w:rFonts w:ascii="TimesNewRomanPSMT" w:eastAsia="Times New Roman" w:hAnsi="TimesNewRomanPSMT" w:cs="Times New Roman"/>
        </w:rPr>
      </w:pPr>
      <w:r>
        <w:rPr>
          <w:rFonts w:ascii="TimesNewRomanPSMT" w:eastAsia="Times New Roman" w:hAnsi="TimesNewRomanPSMT" w:cs="Times New Roman"/>
          <w:color w:val="00AF4F"/>
        </w:rPr>
        <w:tab/>
      </w:r>
      <w:r>
        <w:rPr>
          <w:rFonts w:ascii="TimesNewRomanPSMT" w:eastAsia="Times New Roman" w:hAnsi="TimesNewRomanPSMT" w:cs="Times New Roman"/>
          <w:color w:val="00AF4F"/>
        </w:rPr>
        <w:tab/>
      </w:r>
      <w:r w:rsidRPr="0098407A">
        <w:rPr>
          <w:rFonts w:ascii="TimesNewRomanPSMT" w:eastAsia="Times New Roman" w:hAnsi="TimesNewRomanPSMT" w:cs="Times New Roman"/>
          <w:color w:val="000000" w:themeColor="text1"/>
        </w:rPr>
        <w:t xml:space="preserve">b. </w:t>
      </w:r>
      <w:r w:rsidR="002A759B" w:rsidRPr="0098407A">
        <w:rPr>
          <w:rFonts w:ascii="TimesNewRomanPSMT" w:eastAsia="Times New Roman" w:hAnsi="TimesNewRomanPSMT" w:cs="Times New Roman"/>
        </w:rPr>
        <w:t>Candidate's teaching assignment</w:t>
      </w:r>
      <w:r w:rsidR="002A759B" w:rsidRPr="0098407A">
        <w:rPr>
          <w:rFonts w:ascii="TimesNewRomanPSMT" w:eastAsia="Times New Roman" w:hAnsi="TimesNewRomanPSMT"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1. </w:t>
      </w:r>
      <w:r w:rsidR="002A759B" w:rsidRPr="0098407A">
        <w:rPr>
          <w:rFonts w:ascii="TimesNewRomanPSMT" w:eastAsia="Times New Roman" w:hAnsi="TimesNewRomanPSMT" w:cs="Times New Roman"/>
        </w:rPr>
        <w:t xml:space="preserve">Number of new course preparations during the semester of evaluation </w:t>
      </w:r>
    </w:p>
    <w:p w14:paraId="5E535221" w14:textId="2A0BEF5F" w:rsidR="002A759B" w:rsidRPr="0098407A" w:rsidRDefault="0098407A" w:rsidP="0098407A">
      <w:pPr>
        <w:adjustRightInd w:val="0"/>
        <w:snapToGrid w:val="0"/>
        <w:contextualSpacing/>
        <w:rPr>
          <w:rFonts w:ascii="TimesNewRomanPSMT" w:eastAsia="Times New Roman" w:hAnsi="TimesNewRomanPSMT" w:cs="Times New Roman"/>
        </w:rPr>
      </w:pPr>
      <w:r>
        <w:rPr>
          <w:rFonts w:ascii="TimesNewRomanPSMT" w:eastAsia="Times New Roman" w:hAnsi="TimesNewRomanPSMT" w:cs="Times New Roman"/>
        </w:rPr>
        <w:tab/>
      </w:r>
      <w:r>
        <w:rPr>
          <w:rFonts w:ascii="TimesNewRomanPSMT" w:eastAsia="Times New Roman" w:hAnsi="TimesNewRomanPSMT" w:cs="Times New Roman"/>
        </w:rPr>
        <w:tab/>
        <w:t xml:space="preserve">            </w:t>
      </w:r>
      <w:r w:rsidR="002A759B" w:rsidRPr="0098407A">
        <w:rPr>
          <w:rFonts w:ascii="TimesNewRomanPSMT" w:eastAsia="Times New Roman" w:hAnsi="TimesNewRomanPSMT" w:cs="Times New Roman"/>
        </w:rPr>
        <w:t>2. Total number of different course preparations</w:t>
      </w:r>
      <w:r w:rsidR="002A759B" w:rsidRPr="0098407A">
        <w:rPr>
          <w:rFonts w:ascii="TimesNewRomanPSMT" w:eastAsia="Times New Roman" w:hAnsi="TimesNewRomanPSMT" w:cs="Times New Roman"/>
        </w:rPr>
        <w:br/>
      </w:r>
      <w:r>
        <w:rPr>
          <w:rFonts w:ascii="TimesNewRomanPSMT" w:eastAsia="Times New Roman" w:hAnsi="TimesNewRomanPSMT" w:cs="Times New Roman"/>
          <w:color w:val="00AF4F"/>
        </w:rPr>
        <w:tab/>
      </w:r>
      <w:r>
        <w:rPr>
          <w:rFonts w:ascii="TimesNewRomanPSMT" w:eastAsia="Times New Roman" w:hAnsi="TimesNewRomanPSMT" w:cs="Times New Roman"/>
          <w:color w:val="00AF4F"/>
        </w:rPr>
        <w:tab/>
      </w:r>
      <w:r>
        <w:rPr>
          <w:rFonts w:ascii="TimesNewRomanPSMT" w:eastAsia="Times New Roman" w:hAnsi="TimesNewRomanPSMT" w:cs="Times New Roman"/>
          <w:color w:val="00AF4F"/>
        </w:rPr>
        <w:tab/>
      </w:r>
      <w:r w:rsidR="002A759B" w:rsidRPr="00844DA4">
        <w:rPr>
          <w:rFonts w:ascii="TimesNewRomanPSMT" w:eastAsia="Times New Roman" w:hAnsi="TimesNewRomanPSMT" w:cs="Times New Roman"/>
          <w:i/>
          <w:iCs/>
          <w:color w:val="00AF4F"/>
        </w:rPr>
        <w:t xml:space="preserve">3. Alignment of Standard Course Outline (SCO) with the candidate’s area </w:t>
      </w:r>
      <w:r w:rsidRPr="00844DA4">
        <w:rPr>
          <w:rFonts w:ascii="TimesNewRomanPSMT" w:eastAsia="Times New Roman" w:hAnsi="TimesNewRomanPSMT" w:cs="Times New Roman"/>
          <w:i/>
          <w:iCs/>
          <w:color w:val="00AF4F"/>
        </w:rPr>
        <w:tab/>
      </w:r>
      <w:r w:rsidRPr="00844DA4">
        <w:rPr>
          <w:rFonts w:ascii="TimesNewRomanPSMT" w:eastAsia="Times New Roman" w:hAnsi="TimesNewRomanPSMT" w:cs="Times New Roman"/>
          <w:i/>
          <w:iCs/>
          <w:color w:val="00AF4F"/>
        </w:rPr>
        <w:tab/>
      </w:r>
      <w:r w:rsidRPr="00844DA4">
        <w:rPr>
          <w:rFonts w:ascii="TimesNewRomanPSMT" w:eastAsia="Times New Roman" w:hAnsi="TimesNewRomanPSMT" w:cs="Times New Roman"/>
          <w:i/>
          <w:iCs/>
          <w:color w:val="00AF4F"/>
        </w:rPr>
        <w:tab/>
      </w:r>
      <w:r w:rsidRPr="00844DA4">
        <w:rPr>
          <w:rFonts w:ascii="TimesNewRomanPSMT" w:eastAsia="Times New Roman" w:hAnsi="TimesNewRomanPSMT" w:cs="Times New Roman"/>
          <w:i/>
          <w:iCs/>
          <w:color w:val="00AF4F"/>
        </w:rPr>
        <w:tab/>
      </w:r>
      <w:r w:rsidR="002A759B" w:rsidRPr="00844DA4">
        <w:rPr>
          <w:rFonts w:ascii="TimesNewRomanPSMT" w:eastAsia="Times New Roman" w:hAnsi="TimesNewRomanPSMT" w:cs="Times New Roman"/>
          <w:i/>
          <w:iCs/>
          <w:color w:val="00AF4F"/>
        </w:rPr>
        <w:t>of expertise/training</w:t>
      </w:r>
      <w:r w:rsidR="002A759B" w:rsidRPr="0098407A">
        <w:rPr>
          <w:rFonts w:ascii="TimesNewRomanPSMT" w:eastAsia="Times New Roman" w:hAnsi="TimesNewRomanPSMT" w:cs="Times New Roman"/>
          <w:color w:val="00AF4F"/>
        </w:rPr>
        <w:t xml:space="preserve"> </w:t>
      </w:r>
    </w:p>
    <w:p w14:paraId="3D82B573" w14:textId="44D2152F" w:rsidR="002A759B" w:rsidRPr="002A759B" w:rsidRDefault="0098407A" w:rsidP="002A759B">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 New Roman"/>
        </w:rPr>
        <w:tab/>
      </w:r>
      <w:r>
        <w:rPr>
          <w:rFonts w:ascii="TimesNewRomanPSMT" w:eastAsia="Times New Roman" w:hAnsi="TimesNewRomanPSMT" w:cs="Times New Roman"/>
        </w:rPr>
        <w:tab/>
      </w:r>
      <w:r w:rsidR="002A759B" w:rsidRPr="002A759B">
        <w:rPr>
          <w:rFonts w:ascii="TimesNewRomanPSMT" w:eastAsia="Times New Roman" w:hAnsi="TimesNewRomanPSMT" w:cs="Times New Roman"/>
        </w:rPr>
        <w:t>c. Candidate's experimentation with methodologies in attempting to improve</w:t>
      </w:r>
      <w:r>
        <w:rPr>
          <w:rFonts w:ascii="TimesNewRomanPSMT" w:eastAsia="Times New Roman" w:hAnsi="TimesNewRomanPSMT" w:cs="Times New Roman"/>
        </w:rPr>
        <w:tab/>
      </w:r>
      <w:r>
        <w:rPr>
          <w:rFonts w:ascii="TimesNewRomanPSMT" w:eastAsia="Times New Roman" w:hAnsi="TimesNewRomanPSMT" w:cs="Times New Roman"/>
        </w:rPr>
        <w:tab/>
      </w:r>
      <w:r>
        <w:rPr>
          <w:rFonts w:ascii="TimesNewRomanPSMT" w:eastAsia="Times New Roman" w:hAnsi="TimesNewRomanPSMT" w:cs="Times New Roman"/>
        </w:rPr>
        <w:tab/>
      </w:r>
      <w:r w:rsidR="002A759B" w:rsidRPr="002A759B">
        <w:rPr>
          <w:rFonts w:ascii="TimesNewRomanPSMT" w:eastAsia="Times New Roman" w:hAnsi="TimesNewRomanPSMT" w:cs="Times New Roman"/>
        </w:rPr>
        <w:t>teaching effectiveness</w:t>
      </w:r>
      <w:r w:rsidR="002A759B" w:rsidRPr="002A759B">
        <w:rPr>
          <w:rFonts w:ascii="TimesNewRomanPSMT" w:eastAsia="Times New Roman" w:hAnsi="TimesNewRomanPSMT" w:cs="Times New Roman"/>
        </w:rPr>
        <w:br/>
      </w:r>
      <w:r>
        <w:rPr>
          <w:rFonts w:ascii="TimesNewRomanPSMT" w:eastAsia="Times New Roman" w:hAnsi="TimesNewRomanPSMT" w:cs="Times New Roman"/>
        </w:rPr>
        <w:tab/>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d. Trends over time, </w:t>
      </w:r>
      <w:r w:rsidR="002A759B" w:rsidRPr="00844DA4">
        <w:rPr>
          <w:rFonts w:ascii="TimesNewRomanPSMT" w:eastAsia="Times New Roman" w:hAnsi="TimesNewRomanPSMT" w:cs="Times New Roman"/>
          <w:i/>
          <w:iCs/>
          <w:color w:val="00AF4F"/>
        </w:rPr>
        <w:t>keeping in mind that it is impossible to remove or account</w:t>
      </w:r>
      <w:r w:rsidRPr="00844DA4">
        <w:rPr>
          <w:rFonts w:ascii="TimesNewRomanPSMT" w:eastAsia="Times New Roman" w:hAnsi="TimesNewRomanPSMT" w:cs="Times New Roman"/>
          <w:i/>
          <w:iCs/>
          <w:color w:val="00AF4F"/>
        </w:rPr>
        <w:tab/>
      </w:r>
      <w:r w:rsidRPr="00844DA4">
        <w:rPr>
          <w:rFonts w:ascii="TimesNewRomanPSMT" w:eastAsia="Times New Roman" w:hAnsi="TimesNewRomanPSMT" w:cs="Times New Roman"/>
          <w:i/>
          <w:iCs/>
          <w:color w:val="00AF4F"/>
        </w:rPr>
        <w:tab/>
      </w:r>
      <w:r w:rsidRPr="00844DA4">
        <w:rPr>
          <w:rFonts w:ascii="TimesNewRomanPSMT" w:eastAsia="Times New Roman" w:hAnsi="TimesNewRomanPSMT" w:cs="Times New Roman"/>
          <w:i/>
          <w:iCs/>
          <w:color w:val="00AF4F"/>
        </w:rPr>
        <w:tab/>
      </w:r>
      <w:r w:rsidR="002A759B" w:rsidRPr="00844DA4">
        <w:rPr>
          <w:rFonts w:ascii="TimesNewRomanPSMT" w:eastAsia="Times New Roman" w:hAnsi="TimesNewRomanPSMT" w:cs="Times New Roman"/>
          <w:i/>
          <w:iCs/>
          <w:color w:val="00AF4F"/>
        </w:rPr>
        <w:t xml:space="preserve">for all bias in student evaluations </w:t>
      </w:r>
    </w:p>
    <w:p w14:paraId="31F1BC7A" w14:textId="77777777" w:rsidR="0098407A" w:rsidRDefault="0098407A" w:rsidP="002A759B">
      <w:pPr>
        <w:spacing w:before="100" w:beforeAutospacing="1" w:after="100" w:afterAutospacing="1"/>
        <w:contextualSpacing/>
        <w:rPr>
          <w:rFonts w:ascii="TimesNewRomanPS" w:eastAsia="Times New Roman" w:hAnsi="TimesNewRomanPS" w:cs="Times New Roman"/>
          <w:b/>
          <w:bCs/>
        </w:rPr>
      </w:pPr>
    </w:p>
    <w:p w14:paraId="5A77C11C" w14:textId="085B3F3F" w:rsidR="002A759B" w:rsidRPr="002A759B" w:rsidRDefault="0098407A" w:rsidP="002A759B">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rPr>
        <w:tab/>
      </w:r>
      <w:r w:rsidR="002A759B" w:rsidRPr="002A759B">
        <w:rPr>
          <w:rFonts w:ascii="TimesNewRomanPS" w:eastAsia="Times New Roman" w:hAnsi="TimesNewRomanPS" w:cs="Times New Roman"/>
          <w:b/>
          <w:bCs/>
        </w:rPr>
        <w:t xml:space="preserve">2.1.7.2 Course Evaluation Summaries </w:t>
      </w:r>
    </w:p>
    <w:p w14:paraId="3F384230" w14:textId="66B797D8" w:rsidR="002A759B" w:rsidRPr="002A759B" w:rsidRDefault="0098407A" w:rsidP="002A759B">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Course evaluation summaries provide one measure of instruction that should be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supplemented with other </w:t>
      </w:r>
      <w:proofErr w:type="gramStart"/>
      <w:r w:rsidR="002A759B" w:rsidRPr="002A759B">
        <w:rPr>
          <w:rFonts w:ascii="TimesNewRomanPSMT" w:eastAsia="Times New Roman" w:hAnsi="TimesNewRomanPSMT" w:cs="Times New Roman"/>
        </w:rPr>
        <w:t>instructionally-related</w:t>
      </w:r>
      <w:proofErr w:type="gramEnd"/>
      <w:r w:rsidR="002A759B" w:rsidRPr="002A759B">
        <w:rPr>
          <w:rFonts w:ascii="TimesNewRomanPSMT" w:eastAsia="Times New Roman" w:hAnsi="TimesNewRomanPSMT" w:cs="Times New Roman"/>
        </w:rPr>
        <w:t xml:space="preserve"> materials. Course evaluation summaries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must be included for each section of a course for which student course evaluations are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required during the period of review. </w:t>
      </w:r>
    </w:p>
    <w:p w14:paraId="02F65B63" w14:textId="77777777" w:rsidR="0098407A" w:rsidRDefault="0098407A" w:rsidP="002A759B">
      <w:pPr>
        <w:spacing w:before="100" w:beforeAutospacing="1" w:after="100" w:afterAutospacing="1"/>
        <w:contextualSpacing/>
        <w:rPr>
          <w:rFonts w:ascii="TimesNewRomanPS" w:eastAsia="Times New Roman" w:hAnsi="TimesNewRomanPS" w:cs="Times New Roman"/>
          <w:b/>
          <w:bCs/>
        </w:rPr>
      </w:pPr>
    </w:p>
    <w:p w14:paraId="6C4FFE4E" w14:textId="2C4922D2" w:rsidR="002A759B" w:rsidRPr="002A759B" w:rsidRDefault="0098407A" w:rsidP="002A759B">
      <w:pPr>
        <w:spacing w:before="100" w:beforeAutospacing="1" w:after="100" w:afterAutospacing="1"/>
        <w:contextualSpacing/>
        <w:rPr>
          <w:rFonts w:ascii="Times New Roman" w:eastAsia="Times New Roman" w:hAnsi="Times New Roman" w:cs="Times New Roman"/>
        </w:rPr>
      </w:pPr>
      <w:r>
        <w:rPr>
          <w:rFonts w:ascii="TimesNewRomanPS" w:eastAsia="Times New Roman" w:hAnsi="TimesNewRomanPS" w:cs="Times New Roman"/>
          <w:b/>
          <w:bCs/>
        </w:rPr>
        <w:tab/>
      </w:r>
      <w:r w:rsidR="002A759B" w:rsidRPr="002A759B">
        <w:rPr>
          <w:rFonts w:ascii="TimesNewRomanPS" w:eastAsia="Times New Roman" w:hAnsi="TimesNewRomanPS" w:cs="Times New Roman"/>
          <w:b/>
          <w:bCs/>
        </w:rPr>
        <w:t xml:space="preserve">2.1.7.3 Written Remarks on Student Course Evaluations </w:t>
      </w:r>
    </w:p>
    <w:p w14:paraId="53DBF27E" w14:textId="4092F2C6" w:rsidR="002A759B" w:rsidRPr="002A759B" w:rsidRDefault="0098407A" w:rsidP="002A759B">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The inclusion of written remarks from student course evaluations is optional. Candidates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may include written remarks for a course if such remarks help clarify or explain an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ambiguity on the course evaluation summaries. In such cases, all original student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evaluations for the selected course, including those evaluations without student </w:t>
      </w:r>
      <w:r>
        <w:rPr>
          <w:rFonts w:ascii="TimesNewRomanPSMT" w:eastAsia="Times New Roman" w:hAnsi="TimesNewRomanPSMT" w:cs="Times New Roman"/>
        </w:rPr>
        <w:tab/>
      </w:r>
      <w:r w:rsidR="002A759B" w:rsidRPr="002A759B">
        <w:rPr>
          <w:rFonts w:ascii="TimesNewRomanPSMT" w:eastAsia="Times New Roman" w:hAnsi="TimesNewRomanPSMT" w:cs="Times New Roman"/>
        </w:rPr>
        <w:t xml:space="preserve">comments, must be included. </w:t>
      </w:r>
    </w:p>
    <w:p w14:paraId="23590101"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rPr>
      </w:pPr>
    </w:p>
    <w:p w14:paraId="0F55E921"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rPr>
      </w:pPr>
    </w:p>
    <w:p w14:paraId="608985DA"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rPr>
      </w:pPr>
    </w:p>
    <w:p w14:paraId="4F8D6EBE"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rPr>
      </w:pPr>
    </w:p>
    <w:p w14:paraId="11586D06"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rPr>
      </w:pPr>
    </w:p>
    <w:p w14:paraId="0910F6F9"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u w:val="single"/>
        </w:rPr>
      </w:pPr>
    </w:p>
    <w:p w14:paraId="16A300AA"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u w:val="single"/>
        </w:rPr>
      </w:pPr>
    </w:p>
    <w:p w14:paraId="3F5DEB50"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u w:val="single"/>
        </w:rPr>
      </w:pPr>
    </w:p>
    <w:p w14:paraId="06FED1F5"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u w:val="single"/>
        </w:rPr>
      </w:pPr>
    </w:p>
    <w:p w14:paraId="5FF4326E"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u w:val="single"/>
        </w:rPr>
      </w:pPr>
    </w:p>
    <w:p w14:paraId="406986DD"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u w:val="single"/>
        </w:rPr>
      </w:pPr>
    </w:p>
    <w:p w14:paraId="43769E9F"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u w:val="single"/>
        </w:rPr>
      </w:pPr>
    </w:p>
    <w:p w14:paraId="58932E18"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u w:val="single"/>
        </w:rPr>
      </w:pPr>
    </w:p>
    <w:p w14:paraId="6B35DD75"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u w:val="single"/>
        </w:rPr>
      </w:pPr>
    </w:p>
    <w:p w14:paraId="51B4E092" w14:textId="77777777" w:rsidR="0098407A" w:rsidRDefault="0098407A" w:rsidP="002A759B">
      <w:pPr>
        <w:spacing w:before="100" w:beforeAutospacing="1" w:after="100" w:afterAutospacing="1"/>
        <w:contextualSpacing/>
        <w:rPr>
          <w:rFonts w:ascii="TimesNewRomanPS" w:eastAsia="Times New Roman" w:hAnsi="TimesNewRomanPS" w:cs="Times New Roman"/>
          <w:i/>
          <w:iCs/>
          <w:sz w:val="20"/>
          <w:szCs w:val="20"/>
          <w:u w:val="single"/>
        </w:rPr>
      </w:pPr>
    </w:p>
    <w:p w14:paraId="37F2A4DD" w14:textId="64A2D35B" w:rsidR="002A759B" w:rsidRPr="002A759B" w:rsidRDefault="002A759B" w:rsidP="002A759B">
      <w:pPr>
        <w:spacing w:before="100" w:beforeAutospacing="1" w:after="100" w:afterAutospacing="1"/>
        <w:contextualSpacing/>
        <w:rPr>
          <w:rFonts w:ascii="Times New Roman" w:eastAsia="Times New Roman" w:hAnsi="Times New Roman" w:cs="Times New Roman"/>
          <w:u w:val="single"/>
        </w:rPr>
      </w:pPr>
      <w:r w:rsidRPr="002A759B">
        <w:rPr>
          <w:rFonts w:ascii="TimesNewRomanPS" w:eastAsia="Times New Roman" w:hAnsi="TimesNewRomanPS" w:cs="Times New Roman"/>
          <w:i/>
          <w:iCs/>
          <w:sz w:val="20"/>
          <w:szCs w:val="20"/>
          <w:u w:val="single"/>
        </w:rPr>
        <w:t xml:space="preserve">Note to readers </w:t>
      </w:r>
    </w:p>
    <w:p w14:paraId="7CE39FC8" w14:textId="291C99BF" w:rsidR="008148D0" w:rsidRPr="00F113B3" w:rsidRDefault="002A759B" w:rsidP="00F113B3">
      <w:pPr>
        <w:spacing w:before="100" w:beforeAutospacing="1" w:after="100" w:afterAutospacing="1"/>
        <w:contextualSpacing/>
        <w:rPr>
          <w:rFonts w:ascii="Times New Roman" w:eastAsia="Times New Roman" w:hAnsi="Times New Roman" w:cs="Times New Roman"/>
        </w:rPr>
      </w:pPr>
      <w:r w:rsidRPr="002A759B">
        <w:rPr>
          <w:rFonts w:ascii="TimesNewRomanPSMT" w:eastAsia="Times New Roman" w:hAnsi="TimesNewRomanPSMT" w:cs="Times New Roman"/>
          <w:sz w:val="20"/>
          <w:szCs w:val="20"/>
        </w:rPr>
        <w:t xml:space="preserve">- our proposed policy revisions are based on the crowdsourcing work done by the CLASP team in the 21-22 </w:t>
      </w:r>
      <w:proofErr w:type="spellStart"/>
      <w:r w:rsidRPr="002A759B">
        <w:rPr>
          <w:rFonts w:ascii="TimesNewRomanPSMT" w:eastAsia="Times New Roman" w:hAnsi="TimesNewRomanPSMT" w:cs="Times New Roman"/>
          <w:sz w:val="20"/>
          <w:szCs w:val="20"/>
        </w:rPr>
        <w:t>a.y</w:t>
      </w:r>
      <w:proofErr w:type="spellEnd"/>
      <w:r w:rsidRPr="002A759B">
        <w:rPr>
          <w:rFonts w:ascii="TimesNewRomanPSMT" w:eastAsia="Times New Roman" w:hAnsi="TimesNewRomanPSMT" w:cs="Times New Roman"/>
          <w:sz w:val="20"/>
          <w:szCs w:val="20"/>
        </w:rPr>
        <w:t>., extensive secondary research prepared by our team members, the Collective Bargaining Agreement (CBA), and the proposed new RTP policy for the university</w:t>
      </w:r>
      <w:r w:rsidRPr="002A759B">
        <w:rPr>
          <w:rFonts w:ascii="TimesNewRomanPSMT" w:eastAsia="Times New Roman" w:hAnsi="TimesNewRomanPSMT" w:cs="Times New Roman"/>
          <w:sz w:val="20"/>
          <w:szCs w:val="20"/>
        </w:rPr>
        <w:br/>
        <w:t xml:space="preserve">- as much as possible, new and/or changed language is marked in </w:t>
      </w:r>
      <w:r w:rsidRPr="00844DA4">
        <w:rPr>
          <w:rFonts w:ascii="TimesNewRomanPSMT" w:eastAsia="Times New Roman" w:hAnsi="TimesNewRomanPSMT" w:cs="Times New Roman"/>
          <w:i/>
          <w:iCs/>
          <w:color w:val="00B050"/>
          <w:sz w:val="20"/>
          <w:szCs w:val="20"/>
        </w:rPr>
        <w:t>green</w:t>
      </w:r>
      <w:r w:rsidR="00844DA4" w:rsidRPr="00844DA4">
        <w:rPr>
          <w:rFonts w:ascii="TimesNewRomanPSMT" w:eastAsia="Times New Roman" w:hAnsi="TimesNewRomanPSMT" w:cs="Times New Roman"/>
          <w:i/>
          <w:iCs/>
          <w:color w:val="00B050"/>
          <w:sz w:val="20"/>
          <w:szCs w:val="20"/>
        </w:rPr>
        <w:t xml:space="preserve"> italics</w:t>
      </w:r>
    </w:p>
    <w:sectPr w:rsidR="008148D0" w:rsidRPr="00F113B3" w:rsidSect="002A759B">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2EDA8" w14:textId="77777777" w:rsidR="00E20681" w:rsidRDefault="00E20681" w:rsidP="002A759B">
      <w:r>
        <w:separator/>
      </w:r>
    </w:p>
  </w:endnote>
  <w:endnote w:type="continuationSeparator" w:id="0">
    <w:p w14:paraId="221EB050" w14:textId="77777777" w:rsidR="00E20681" w:rsidRDefault="00E20681" w:rsidP="002A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2547034"/>
      <w:docPartObj>
        <w:docPartGallery w:val="Page Numbers (Bottom of Page)"/>
        <w:docPartUnique/>
      </w:docPartObj>
    </w:sdtPr>
    <w:sdtContent>
      <w:p w14:paraId="41722EA1" w14:textId="722CBB9F" w:rsidR="0098407A" w:rsidRDefault="0098407A" w:rsidP="002E2CB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D5259B" w14:textId="77777777" w:rsidR="0098407A" w:rsidRDefault="009840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0"/>
        <w:szCs w:val="20"/>
      </w:rPr>
      <w:id w:val="1743604497"/>
      <w:docPartObj>
        <w:docPartGallery w:val="Page Numbers (Bottom of Page)"/>
        <w:docPartUnique/>
      </w:docPartObj>
    </w:sdtPr>
    <w:sdtContent>
      <w:p w14:paraId="3FD1F0C1" w14:textId="4F9D00EF" w:rsidR="0098407A" w:rsidRPr="0098407A" w:rsidRDefault="0098407A" w:rsidP="002E2CBF">
        <w:pPr>
          <w:pStyle w:val="Footer"/>
          <w:framePr w:wrap="none" w:vAnchor="text" w:hAnchor="margin" w:xAlign="center" w:y="1"/>
          <w:rPr>
            <w:rStyle w:val="PageNumber"/>
            <w:rFonts w:ascii="Times New Roman" w:hAnsi="Times New Roman" w:cs="Times New Roman"/>
            <w:sz w:val="20"/>
            <w:szCs w:val="20"/>
          </w:rPr>
        </w:pPr>
        <w:r w:rsidRPr="0098407A">
          <w:rPr>
            <w:rStyle w:val="PageNumber"/>
            <w:rFonts w:ascii="Times New Roman" w:hAnsi="Times New Roman" w:cs="Times New Roman"/>
            <w:sz w:val="20"/>
            <w:szCs w:val="20"/>
          </w:rPr>
          <w:fldChar w:fldCharType="begin"/>
        </w:r>
        <w:r w:rsidRPr="0098407A">
          <w:rPr>
            <w:rStyle w:val="PageNumber"/>
            <w:rFonts w:ascii="Times New Roman" w:hAnsi="Times New Roman" w:cs="Times New Roman"/>
            <w:sz w:val="20"/>
            <w:szCs w:val="20"/>
          </w:rPr>
          <w:instrText xml:space="preserve"> PAGE </w:instrText>
        </w:r>
        <w:r w:rsidRPr="0098407A">
          <w:rPr>
            <w:rStyle w:val="PageNumber"/>
            <w:rFonts w:ascii="Times New Roman" w:hAnsi="Times New Roman" w:cs="Times New Roman"/>
            <w:sz w:val="20"/>
            <w:szCs w:val="20"/>
          </w:rPr>
          <w:fldChar w:fldCharType="separate"/>
        </w:r>
        <w:r w:rsidRPr="0098407A">
          <w:rPr>
            <w:rStyle w:val="PageNumber"/>
            <w:rFonts w:ascii="Times New Roman" w:hAnsi="Times New Roman" w:cs="Times New Roman"/>
            <w:noProof/>
            <w:sz w:val="20"/>
            <w:szCs w:val="20"/>
          </w:rPr>
          <w:t>1</w:t>
        </w:r>
        <w:r w:rsidRPr="0098407A">
          <w:rPr>
            <w:rStyle w:val="PageNumber"/>
            <w:rFonts w:ascii="Times New Roman" w:hAnsi="Times New Roman" w:cs="Times New Roman"/>
            <w:sz w:val="20"/>
            <w:szCs w:val="20"/>
          </w:rPr>
          <w:fldChar w:fldCharType="end"/>
        </w:r>
      </w:p>
    </w:sdtContent>
  </w:sdt>
  <w:p w14:paraId="67318B18" w14:textId="77777777" w:rsidR="0098407A" w:rsidRDefault="00984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31CA" w14:textId="77777777" w:rsidR="00E20681" w:rsidRDefault="00E20681" w:rsidP="002A759B">
      <w:r>
        <w:separator/>
      </w:r>
    </w:p>
  </w:footnote>
  <w:footnote w:type="continuationSeparator" w:id="0">
    <w:p w14:paraId="12EBE48A" w14:textId="77777777" w:rsidR="00E20681" w:rsidRDefault="00E20681" w:rsidP="002A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B5F5" w14:textId="77777777" w:rsidR="002A759B" w:rsidRPr="002A759B" w:rsidRDefault="002A759B" w:rsidP="002A759B">
    <w:pPr>
      <w:spacing w:before="100" w:beforeAutospacing="1" w:after="100" w:afterAutospacing="1"/>
      <w:contextualSpacing/>
      <w:rPr>
        <w:rFonts w:ascii="Times New Roman" w:eastAsia="Times New Roman" w:hAnsi="Times New Roman" w:cs="Times New Roman"/>
      </w:rPr>
    </w:pPr>
    <w:r w:rsidRPr="002A759B">
      <w:rPr>
        <w:rFonts w:ascii="TimesNewRomanPSMT" w:eastAsia="Times New Roman" w:hAnsi="TimesNewRomanPSMT" w:cs="Times New Roman"/>
        <w:color w:val="FF0000"/>
      </w:rPr>
      <w:t xml:space="preserve">DRAFT </w:t>
    </w:r>
  </w:p>
  <w:p w14:paraId="0DF0E46E" w14:textId="268B3BB3" w:rsidR="002A759B" w:rsidRPr="002A759B" w:rsidRDefault="00844DA4" w:rsidP="002A759B">
    <w:pPr>
      <w:spacing w:before="100" w:beforeAutospacing="1" w:after="100" w:afterAutospacing="1"/>
      <w:contextualSpacing/>
      <w:rPr>
        <w:rFonts w:ascii="Times New Roman" w:eastAsia="Times New Roman" w:hAnsi="Times New Roman" w:cs="Times New Roman"/>
      </w:rPr>
    </w:pPr>
    <w:r>
      <w:rPr>
        <w:rFonts w:ascii="TimesNewRomanPSMT" w:eastAsia="Times New Roman" w:hAnsi="TimesNewRomanPSMT" w:cs="Times New Roman"/>
      </w:rPr>
      <w:t>4</w:t>
    </w:r>
    <w:r w:rsidR="002A759B" w:rsidRPr="002A759B">
      <w:rPr>
        <w:rFonts w:ascii="TimesNewRomanPSMT" w:eastAsia="Times New Roman" w:hAnsi="TimesNewRomanPSMT" w:cs="Times New Roman"/>
      </w:rPr>
      <w:t>/</w:t>
    </w:r>
    <w:r w:rsidR="00B50AFB">
      <w:rPr>
        <w:rFonts w:ascii="TimesNewRomanPSMT" w:eastAsia="Times New Roman" w:hAnsi="TimesNewRomanPSMT" w:cs="Times New Roman"/>
      </w:rPr>
      <w:t>30</w:t>
    </w:r>
    <w:r w:rsidR="002A759B" w:rsidRPr="002A759B">
      <w:rPr>
        <w:rFonts w:ascii="TimesNewRomanPSMT" w:eastAsia="Times New Roman" w:hAnsi="TimesNewRomanPSMT" w:cs="Times New Roman"/>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81"/>
    <w:multiLevelType w:val="hybridMultilevel"/>
    <w:tmpl w:val="464AE3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73ABF"/>
    <w:multiLevelType w:val="hybridMultilevel"/>
    <w:tmpl w:val="DF346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D6ECE"/>
    <w:multiLevelType w:val="hybridMultilevel"/>
    <w:tmpl w:val="2396A820"/>
    <w:lvl w:ilvl="0" w:tplc="54268EE2">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C376B7"/>
    <w:multiLevelType w:val="hybridMultilevel"/>
    <w:tmpl w:val="2C1A5E06"/>
    <w:lvl w:ilvl="0" w:tplc="A7A4B974">
      <w:start w:val="7"/>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403D8F"/>
    <w:multiLevelType w:val="multilevel"/>
    <w:tmpl w:val="23F4D038"/>
    <w:styleLink w:val="CurrentList1"/>
    <w:lvl w:ilvl="0">
      <w:start w:val="1"/>
      <w:numFmt w:val="lowerLetter"/>
      <w:lvlText w:val="%1."/>
      <w:lvlJc w:val="left"/>
      <w:pPr>
        <w:ind w:left="720" w:hanging="360"/>
      </w:pPr>
      <w:rPr>
        <w:rFonts w:ascii="TimesNewRomanPSMT" w:eastAsia="Times New Roman" w:hAnsi="TimesNewRomanPSMT"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402C0A"/>
    <w:multiLevelType w:val="hybridMultilevel"/>
    <w:tmpl w:val="7166B194"/>
    <w:lvl w:ilvl="0" w:tplc="54268EE2">
      <w:start w:val="1"/>
      <w:numFmt w:val="decimal"/>
      <w:lvlText w:val="%1."/>
      <w:lvlJc w:val="left"/>
      <w:pPr>
        <w:ind w:left="1440" w:hanging="360"/>
      </w:pPr>
      <w:rPr>
        <w:rFonts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CA56D4"/>
    <w:multiLevelType w:val="hybridMultilevel"/>
    <w:tmpl w:val="F162C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E052F"/>
    <w:multiLevelType w:val="hybridMultilevel"/>
    <w:tmpl w:val="23F4D038"/>
    <w:lvl w:ilvl="0" w:tplc="FFFFFFFF">
      <w:start w:val="1"/>
      <w:numFmt w:val="lowerLetter"/>
      <w:lvlText w:val="%1."/>
      <w:lvlJc w:val="left"/>
      <w:pPr>
        <w:ind w:left="720" w:hanging="360"/>
      </w:pPr>
      <w:rPr>
        <w:rFonts w:ascii="TimesNewRomanPSMT" w:eastAsia="Times New Roman" w:hAnsi="TimesNewRomanPSMT"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0E729E"/>
    <w:multiLevelType w:val="hybridMultilevel"/>
    <w:tmpl w:val="BD1EC8D2"/>
    <w:lvl w:ilvl="0" w:tplc="AE765114">
      <w:start w:val="1"/>
      <w:numFmt w:val="lowerLetter"/>
      <w:lvlText w:val="%1."/>
      <w:lvlJc w:val="left"/>
      <w:pPr>
        <w:ind w:left="720" w:hanging="360"/>
      </w:pPr>
      <w:rPr>
        <w:rFonts w:ascii="TimesNewRomanPSMT" w:hAnsi="TimesNewRomanPS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80516"/>
    <w:multiLevelType w:val="hybridMultilevel"/>
    <w:tmpl w:val="A9246C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87BC3"/>
    <w:multiLevelType w:val="hybridMultilevel"/>
    <w:tmpl w:val="9B2C5266"/>
    <w:lvl w:ilvl="0" w:tplc="9E3E4FD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051C0"/>
    <w:multiLevelType w:val="hybridMultilevel"/>
    <w:tmpl w:val="06A40E80"/>
    <w:lvl w:ilvl="0" w:tplc="54268EE2">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0F2D74"/>
    <w:multiLevelType w:val="hybridMultilevel"/>
    <w:tmpl w:val="B68A7542"/>
    <w:lvl w:ilvl="0" w:tplc="04090019">
      <w:start w:val="1"/>
      <w:numFmt w:val="lowerLetter"/>
      <w:lvlText w:val="%1."/>
      <w:lvlJc w:val="left"/>
      <w:pPr>
        <w:ind w:left="72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07053E"/>
    <w:multiLevelType w:val="hybridMultilevel"/>
    <w:tmpl w:val="F3CA1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30B57"/>
    <w:multiLevelType w:val="hybridMultilevel"/>
    <w:tmpl w:val="E71A9162"/>
    <w:lvl w:ilvl="0" w:tplc="D2942B94">
      <w:start w:val="1"/>
      <w:numFmt w:val="lowerLetter"/>
      <w:lvlText w:val="%1."/>
      <w:lvlJc w:val="left"/>
      <w:pPr>
        <w:ind w:left="720" w:hanging="360"/>
      </w:pPr>
      <w:rPr>
        <w:rFonts w:ascii="TimesNewRomanPSMT" w:eastAsia="Times New Roman" w:hAnsi="TimesNewRomanPSMT"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20F91"/>
    <w:multiLevelType w:val="hybridMultilevel"/>
    <w:tmpl w:val="B49E9B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982495"/>
    <w:multiLevelType w:val="hybridMultilevel"/>
    <w:tmpl w:val="E2E2B2D4"/>
    <w:lvl w:ilvl="0" w:tplc="04090019">
      <w:start w:val="1"/>
      <w:numFmt w:val="lowerLetter"/>
      <w:lvlText w:val="%1."/>
      <w:lvlJc w:val="left"/>
      <w:pPr>
        <w:ind w:left="720" w:hanging="360"/>
      </w:pPr>
    </w:lvl>
    <w:lvl w:ilvl="1" w:tplc="39AE4148">
      <w:start w:val="1"/>
      <w:numFmt w:val="decimal"/>
      <w:lvlText w:val="%2."/>
      <w:lvlJc w:val="left"/>
      <w:pPr>
        <w:ind w:left="1440" w:hanging="360"/>
      </w:pPr>
      <w:rPr>
        <w:rFonts w:ascii="TimesNewRomanPSMT" w:hAnsi="TimesNewRomanPS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B79F8"/>
    <w:multiLevelType w:val="hybridMultilevel"/>
    <w:tmpl w:val="FA88EC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13F240F"/>
    <w:multiLevelType w:val="hybridMultilevel"/>
    <w:tmpl w:val="0F884AD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0C4FBE"/>
    <w:multiLevelType w:val="hybridMultilevel"/>
    <w:tmpl w:val="E5B04F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9B181F"/>
    <w:multiLevelType w:val="hybridMultilevel"/>
    <w:tmpl w:val="10D40F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F0302"/>
    <w:multiLevelType w:val="hybridMultilevel"/>
    <w:tmpl w:val="41CCB62C"/>
    <w:lvl w:ilvl="0" w:tplc="54268EE2">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511181F"/>
    <w:multiLevelType w:val="hybridMultilevel"/>
    <w:tmpl w:val="574458E2"/>
    <w:lvl w:ilvl="0" w:tplc="54268EE2">
      <w:start w:val="1"/>
      <w:numFmt w:val="decimal"/>
      <w:lvlText w:val="%1."/>
      <w:lvlJc w:val="left"/>
      <w:pPr>
        <w:ind w:left="2880" w:hanging="360"/>
      </w:pPr>
      <w:rPr>
        <w:rFonts w:hint="default"/>
        <w:sz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67945E8F"/>
    <w:multiLevelType w:val="hybridMultilevel"/>
    <w:tmpl w:val="C41E6E88"/>
    <w:lvl w:ilvl="0" w:tplc="04090019">
      <w:start w:val="1"/>
      <w:numFmt w:val="lowerLetter"/>
      <w:lvlText w:val="%1."/>
      <w:lvlJc w:val="left"/>
      <w:pPr>
        <w:ind w:left="72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8BA74E5"/>
    <w:multiLevelType w:val="hybridMultilevel"/>
    <w:tmpl w:val="938C08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2B58E0"/>
    <w:multiLevelType w:val="hybridMultilevel"/>
    <w:tmpl w:val="B31E08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17565A0"/>
    <w:multiLevelType w:val="hybridMultilevel"/>
    <w:tmpl w:val="D1B81A1A"/>
    <w:lvl w:ilvl="0" w:tplc="A7A4B974">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8A5207B"/>
    <w:multiLevelType w:val="hybridMultilevel"/>
    <w:tmpl w:val="076E6E1E"/>
    <w:lvl w:ilvl="0" w:tplc="54268EE2">
      <w:start w:val="1"/>
      <w:numFmt w:val="decimal"/>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9F74D24"/>
    <w:multiLevelType w:val="hybridMultilevel"/>
    <w:tmpl w:val="33B87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142B3"/>
    <w:multiLevelType w:val="hybridMultilevel"/>
    <w:tmpl w:val="D36A35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129546">
    <w:abstractNumId w:val="16"/>
  </w:num>
  <w:num w:numId="2" w16cid:durableId="1827089626">
    <w:abstractNumId w:val="8"/>
  </w:num>
  <w:num w:numId="3" w16cid:durableId="1029528221">
    <w:abstractNumId w:val="27"/>
  </w:num>
  <w:num w:numId="4" w16cid:durableId="1499610947">
    <w:abstractNumId w:val="5"/>
  </w:num>
  <w:num w:numId="5" w16cid:durableId="753236341">
    <w:abstractNumId w:val="20"/>
  </w:num>
  <w:num w:numId="6" w16cid:durableId="1603102820">
    <w:abstractNumId w:val="29"/>
  </w:num>
  <w:num w:numId="7" w16cid:durableId="168641920">
    <w:abstractNumId w:val="0"/>
  </w:num>
  <w:num w:numId="8" w16cid:durableId="789709159">
    <w:abstractNumId w:val="1"/>
  </w:num>
  <w:num w:numId="9" w16cid:durableId="513761957">
    <w:abstractNumId w:val="10"/>
  </w:num>
  <w:num w:numId="10" w16cid:durableId="620890290">
    <w:abstractNumId w:val="19"/>
  </w:num>
  <w:num w:numId="11" w16cid:durableId="2028478994">
    <w:abstractNumId w:val="18"/>
  </w:num>
  <w:num w:numId="12" w16cid:durableId="3284444">
    <w:abstractNumId w:val="9"/>
  </w:num>
  <w:num w:numId="13" w16cid:durableId="1470706969">
    <w:abstractNumId w:val="14"/>
  </w:num>
  <w:num w:numId="14" w16cid:durableId="86970490">
    <w:abstractNumId w:val="7"/>
  </w:num>
  <w:num w:numId="15" w16cid:durableId="1526597784">
    <w:abstractNumId w:val="4"/>
  </w:num>
  <w:num w:numId="16" w16cid:durableId="1007368385">
    <w:abstractNumId w:val="28"/>
  </w:num>
  <w:num w:numId="17" w16cid:durableId="1237058747">
    <w:abstractNumId w:val="3"/>
  </w:num>
  <w:num w:numId="18" w16cid:durableId="226691531">
    <w:abstractNumId w:val="26"/>
  </w:num>
  <w:num w:numId="19" w16cid:durableId="415906453">
    <w:abstractNumId w:val="13"/>
  </w:num>
  <w:num w:numId="20" w16cid:durableId="475686244">
    <w:abstractNumId w:val="25"/>
  </w:num>
  <w:num w:numId="21" w16cid:durableId="1987733501">
    <w:abstractNumId w:val="12"/>
  </w:num>
  <w:num w:numId="22" w16cid:durableId="1742406526">
    <w:abstractNumId w:val="6"/>
  </w:num>
  <w:num w:numId="23" w16cid:durableId="283082348">
    <w:abstractNumId w:val="17"/>
  </w:num>
  <w:num w:numId="24" w16cid:durableId="583760408">
    <w:abstractNumId w:val="15"/>
  </w:num>
  <w:num w:numId="25" w16cid:durableId="1893224783">
    <w:abstractNumId w:val="2"/>
  </w:num>
  <w:num w:numId="26" w16cid:durableId="1688366673">
    <w:abstractNumId w:val="23"/>
  </w:num>
  <w:num w:numId="27" w16cid:durableId="275597364">
    <w:abstractNumId w:val="11"/>
  </w:num>
  <w:num w:numId="28" w16cid:durableId="1488328106">
    <w:abstractNumId w:val="21"/>
  </w:num>
  <w:num w:numId="29" w16cid:durableId="627005771">
    <w:abstractNumId w:val="22"/>
  </w:num>
  <w:num w:numId="30" w16cid:durableId="2588709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9B"/>
    <w:rsid w:val="00095F8A"/>
    <w:rsid w:val="002A759B"/>
    <w:rsid w:val="00313F39"/>
    <w:rsid w:val="003963A8"/>
    <w:rsid w:val="0056644C"/>
    <w:rsid w:val="005E6F57"/>
    <w:rsid w:val="00737599"/>
    <w:rsid w:val="007F593B"/>
    <w:rsid w:val="008258F6"/>
    <w:rsid w:val="00844DA4"/>
    <w:rsid w:val="0085105D"/>
    <w:rsid w:val="008C0EA9"/>
    <w:rsid w:val="0098407A"/>
    <w:rsid w:val="00B50AFB"/>
    <w:rsid w:val="00D57C7A"/>
    <w:rsid w:val="00D763CB"/>
    <w:rsid w:val="00E20681"/>
    <w:rsid w:val="00F113B3"/>
    <w:rsid w:val="00F612AF"/>
    <w:rsid w:val="00F71EE6"/>
    <w:rsid w:val="00FB4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3C5520"/>
  <w15:chartTrackingRefBased/>
  <w15:docId w15:val="{9399FEC6-2C2E-C147-BA24-86487D5C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59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A759B"/>
    <w:pPr>
      <w:ind w:left="720"/>
      <w:contextualSpacing/>
    </w:pPr>
  </w:style>
  <w:style w:type="paragraph" w:styleId="Header">
    <w:name w:val="header"/>
    <w:basedOn w:val="Normal"/>
    <w:link w:val="HeaderChar"/>
    <w:uiPriority w:val="99"/>
    <w:unhideWhenUsed/>
    <w:rsid w:val="002A759B"/>
    <w:pPr>
      <w:tabs>
        <w:tab w:val="center" w:pos="4680"/>
        <w:tab w:val="right" w:pos="9360"/>
      </w:tabs>
    </w:pPr>
  </w:style>
  <w:style w:type="character" w:customStyle="1" w:styleId="HeaderChar">
    <w:name w:val="Header Char"/>
    <w:basedOn w:val="DefaultParagraphFont"/>
    <w:link w:val="Header"/>
    <w:uiPriority w:val="99"/>
    <w:rsid w:val="002A759B"/>
  </w:style>
  <w:style w:type="paragraph" w:styleId="Footer">
    <w:name w:val="footer"/>
    <w:basedOn w:val="Normal"/>
    <w:link w:val="FooterChar"/>
    <w:uiPriority w:val="99"/>
    <w:unhideWhenUsed/>
    <w:rsid w:val="002A759B"/>
    <w:pPr>
      <w:tabs>
        <w:tab w:val="center" w:pos="4680"/>
        <w:tab w:val="right" w:pos="9360"/>
      </w:tabs>
    </w:pPr>
  </w:style>
  <w:style w:type="character" w:customStyle="1" w:styleId="FooterChar">
    <w:name w:val="Footer Char"/>
    <w:basedOn w:val="DefaultParagraphFont"/>
    <w:link w:val="Footer"/>
    <w:uiPriority w:val="99"/>
    <w:rsid w:val="002A759B"/>
  </w:style>
  <w:style w:type="numbering" w:customStyle="1" w:styleId="CurrentList1">
    <w:name w:val="Current List1"/>
    <w:uiPriority w:val="99"/>
    <w:rsid w:val="00F612AF"/>
    <w:pPr>
      <w:numPr>
        <w:numId w:val="15"/>
      </w:numPr>
    </w:pPr>
  </w:style>
  <w:style w:type="character" w:styleId="PageNumber">
    <w:name w:val="page number"/>
    <w:basedOn w:val="DefaultParagraphFont"/>
    <w:uiPriority w:val="99"/>
    <w:semiHidden/>
    <w:unhideWhenUsed/>
    <w:rsid w:val="00984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074787">
      <w:bodyDiv w:val="1"/>
      <w:marLeft w:val="0"/>
      <w:marRight w:val="0"/>
      <w:marTop w:val="0"/>
      <w:marBottom w:val="0"/>
      <w:divBdr>
        <w:top w:val="none" w:sz="0" w:space="0" w:color="auto"/>
        <w:left w:val="none" w:sz="0" w:space="0" w:color="auto"/>
        <w:bottom w:val="none" w:sz="0" w:space="0" w:color="auto"/>
        <w:right w:val="none" w:sz="0" w:space="0" w:color="auto"/>
      </w:divBdr>
      <w:divsChild>
        <w:div w:id="1216550023">
          <w:marLeft w:val="0"/>
          <w:marRight w:val="0"/>
          <w:marTop w:val="0"/>
          <w:marBottom w:val="0"/>
          <w:divBdr>
            <w:top w:val="none" w:sz="0" w:space="0" w:color="auto"/>
            <w:left w:val="none" w:sz="0" w:space="0" w:color="auto"/>
            <w:bottom w:val="none" w:sz="0" w:space="0" w:color="auto"/>
            <w:right w:val="none" w:sz="0" w:space="0" w:color="auto"/>
          </w:divBdr>
          <w:divsChild>
            <w:div w:id="1456560944">
              <w:marLeft w:val="0"/>
              <w:marRight w:val="0"/>
              <w:marTop w:val="0"/>
              <w:marBottom w:val="0"/>
              <w:divBdr>
                <w:top w:val="none" w:sz="0" w:space="0" w:color="auto"/>
                <w:left w:val="none" w:sz="0" w:space="0" w:color="auto"/>
                <w:bottom w:val="none" w:sz="0" w:space="0" w:color="auto"/>
                <w:right w:val="none" w:sz="0" w:space="0" w:color="auto"/>
              </w:divBdr>
              <w:divsChild>
                <w:div w:id="1822040472">
                  <w:marLeft w:val="0"/>
                  <w:marRight w:val="0"/>
                  <w:marTop w:val="0"/>
                  <w:marBottom w:val="0"/>
                  <w:divBdr>
                    <w:top w:val="none" w:sz="0" w:space="0" w:color="auto"/>
                    <w:left w:val="none" w:sz="0" w:space="0" w:color="auto"/>
                    <w:bottom w:val="none" w:sz="0" w:space="0" w:color="auto"/>
                    <w:right w:val="none" w:sz="0" w:space="0" w:color="auto"/>
                  </w:divBdr>
                </w:div>
              </w:divsChild>
            </w:div>
            <w:div w:id="305858780">
              <w:marLeft w:val="0"/>
              <w:marRight w:val="0"/>
              <w:marTop w:val="0"/>
              <w:marBottom w:val="0"/>
              <w:divBdr>
                <w:top w:val="none" w:sz="0" w:space="0" w:color="auto"/>
                <w:left w:val="none" w:sz="0" w:space="0" w:color="auto"/>
                <w:bottom w:val="none" w:sz="0" w:space="0" w:color="auto"/>
                <w:right w:val="none" w:sz="0" w:space="0" w:color="auto"/>
              </w:divBdr>
              <w:divsChild>
                <w:div w:id="1855145055">
                  <w:marLeft w:val="0"/>
                  <w:marRight w:val="0"/>
                  <w:marTop w:val="0"/>
                  <w:marBottom w:val="0"/>
                  <w:divBdr>
                    <w:top w:val="none" w:sz="0" w:space="0" w:color="auto"/>
                    <w:left w:val="none" w:sz="0" w:space="0" w:color="auto"/>
                    <w:bottom w:val="none" w:sz="0" w:space="0" w:color="auto"/>
                    <w:right w:val="none" w:sz="0" w:space="0" w:color="auto"/>
                  </w:divBdr>
                </w:div>
              </w:divsChild>
            </w:div>
            <w:div w:id="663707737">
              <w:marLeft w:val="0"/>
              <w:marRight w:val="0"/>
              <w:marTop w:val="0"/>
              <w:marBottom w:val="0"/>
              <w:divBdr>
                <w:top w:val="none" w:sz="0" w:space="0" w:color="auto"/>
                <w:left w:val="none" w:sz="0" w:space="0" w:color="auto"/>
                <w:bottom w:val="none" w:sz="0" w:space="0" w:color="auto"/>
                <w:right w:val="none" w:sz="0" w:space="0" w:color="auto"/>
              </w:divBdr>
              <w:divsChild>
                <w:div w:id="1601136548">
                  <w:marLeft w:val="0"/>
                  <w:marRight w:val="0"/>
                  <w:marTop w:val="0"/>
                  <w:marBottom w:val="0"/>
                  <w:divBdr>
                    <w:top w:val="none" w:sz="0" w:space="0" w:color="auto"/>
                    <w:left w:val="none" w:sz="0" w:space="0" w:color="auto"/>
                    <w:bottom w:val="none" w:sz="0" w:space="0" w:color="auto"/>
                    <w:right w:val="none" w:sz="0" w:space="0" w:color="auto"/>
                  </w:divBdr>
                </w:div>
              </w:divsChild>
            </w:div>
            <w:div w:id="2114205986">
              <w:marLeft w:val="0"/>
              <w:marRight w:val="0"/>
              <w:marTop w:val="0"/>
              <w:marBottom w:val="0"/>
              <w:divBdr>
                <w:top w:val="none" w:sz="0" w:space="0" w:color="auto"/>
                <w:left w:val="none" w:sz="0" w:space="0" w:color="auto"/>
                <w:bottom w:val="none" w:sz="0" w:space="0" w:color="auto"/>
                <w:right w:val="none" w:sz="0" w:space="0" w:color="auto"/>
              </w:divBdr>
              <w:divsChild>
                <w:div w:id="1827554700">
                  <w:marLeft w:val="0"/>
                  <w:marRight w:val="0"/>
                  <w:marTop w:val="0"/>
                  <w:marBottom w:val="0"/>
                  <w:divBdr>
                    <w:top w:val="none" w:sz="0" w:space="0" w:color="auto"/>
                    <w:left w:val="none" w:sz="0" w:space="0" w:color="auto"/>
                    <w:bottom w:val="none" w:sz="0" w:space="0" w:color="auto"/>
                    <w:right w:val="none" w:sz="0" w:space="0" w:color="auto"/>
                  </w:divBdr>
                </w:div>
                <w:div w:id="384379870">
                  <w:marLeft w:val="0"/>
                  <w:marRight w:val="0"/>
                  <w:marTop w:val="0"/>
                  <w:marBottom w:val="0"/>
                  <w:divBdr>
                    <w:top w:val="none" w:sz="0" w:space="0" w:color="auto"/>
                    <w:left w:val="none" w:sz="0" w:space="0" w:color="auto"/>
                    <w:bottom w:val="none" w:sz="0" w:space="0" w:color="auto"/>
                    <w:right w:val="none" w:sz="0" w:space="0" w:color="auto"/>
                  </w:divBdr>
                </w:div>
              </w:divsChild>
            </w:div>
            <w:div w:id="557670755">
              <w:marLeft w:val="0"/>
              <w:marRight w:val="0"/>
              <w:marTop w:val="0"/>
              <w:marBottom w:val="0"/>
              <w:divBdr>
                <w:top w:val="none" w:sz="0" w:space="0" w:color="auto"/>
                <w:left w:val="none" w:sz="0" w:space="0" w:color="auto"/>
                <w:bottom w:val="none" w:sz="0" w:space="0" w:color="auto"/>
                <w:right w:val="none" w:sz="0" w:space="0" w:color="auto"/>
              </w:divBdr>
              <w:divsChild>
                <w:div w:id="18122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2930">
          <w:marLeft w:val="0"/>
          <w:marRight w:val="0"/>
          <w:marTop w:val="0"/>
          <w:marBottom w:val="0"/>
          <w:divBdr>
            <w:top w:val="none" w:sz="0" w:space="0" w:color="auto"/>
            <w:left w:val="none" w:sz="0" w:space="0" w:color="auto"/>
            <w:bottom w:val="none" w:sz="0" w:space="0" w:color="auto"/>
            <w:right w:val="none" w:sz="0" w:space="0" w:color="auto"/>
          </w:divBdr>
          <w:divsChild>
            <w:div w:id="546647516">
              <w:marLeft w:val="0"/>
              <w:marRight w:val="0"/>
              <w:marTop w:val="0"/>
              <w:marBottom w:val="0"/>
              <w:divBdr>
                <w:top w:val="none" w:sz="0" w:space="0" w:color="auto"/>
                <w:left w:val="none" w:sz="0" w:space="0" w:color="auto"/>
                <w:bottom w:val="none" w:sz="0" w:space="0" w:color="auto"/>
                <w:right w:val="none" w:sz="0" w:space="0" w:color="auto"/>
              </w:divBdr>
              <w:divsChild>
                <w:div w:id="21232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3766">
          <w:marLeft w:val="0"/>
          <w:marRight w:val="0"/>
          <w:marTop w:val="0"/>
          <w:marBottom w:val="0"/>
          <w:divBdr>
            <w:top w:val="none" w:sz="0" w:space="0" w:color="auto"/>
            <w:left w:val="none" w:sz="0" w:space="0" w:color="auto"/>
            <w:bottom w:val="none" w:sz="0" w:space="0" w:color="auto"/>
            <w:right w:val="none" w:sz="0" w:space="0" w:color="auto"/>
          </w:divBdr>
          <w:divsChild>
            <w:div w:id="436605130">
              <w:marLeft w:val="0"/>
              <w:marRight w:val="0"/>
              <w:marTop w:val="0"/>
              <w:marBottom w:val="0"/>
              <w:divBdr>
                <w:top w:val="none" w:sz="0" w:space="0" w:color="auto"/>
                <w:left w:val="none" w:sz="0" w:space="0" w:color="auto"/>
                <w:bottom w:val="none" w:sz="0" w:space="0" w:color="auto"/>
                <w:right w:val="none" w:sz="0" w:space="0" w:color="auto"/>
              </w:divBdr>
              <w:divsChild>
                <w:div w:id="8166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96161">
          <w:marLeft w:val="0"/>
          <w:marRight w:val="0"/>
          <w:marTop w:val="0"/>
          <w:marBottom w:val="0"/>
          <w:divBdr>
            <w:top w:val="none" w:sz="0" w:space="0" w:color="auto"/>
            <w:left w:val="none" w:sz="0" w:space="0" w:color="auto"/>
            <w:bottom w:val="none" w:sz="0" w:space="0" w:color="auto"/>
            <w:right w:val="none" w:sz="0" w:space="0" w:color="auto"/>
          </w:divBdr>
          <w:divsChild>
            <w:div w:id="500391801">
              <w:marLeft w:val="0"/>
              <w:marRight w:val="0"/>
              <w:marTop w:val="0"/>
              <w:marBottom w:val="0"/>
              <w:divBdr>
                <w:top w:val="none" w:sz="0" w:space="0" w:color="auto"/>
                <w:left w:val="none" w:sz="0" w:space="0" w:color="auto"/>
                <w:bottom w:val="none" w:sz="0" w:space="0" w:color="auto"/>
                <w:right w:val="none" w:sz="0" w:space="0" w:color="auto"/>
              </w:divBdr>
              <w:divsChild>
                <w:div w:id="1122501076">
                  <w:marLeft w:val="0"/>
                  <w:marRight w:val="0"/>
                  <w:marTop w:val="0"/>
                  <w:marBottom w:val="0"/>
                  <w:divBdr>
                    <w:top w:val="none" w:sz="0" w:space="0" w:color="auto"/>
                    <w:left w:val="none" w:sz="0" w:space="0" w:color="auto"/>
                    <w:bottom w:val="none" w:sz="0" w:space="0" w:color="auto"/>
                    <w:right w:val="none" w:sz="0" w:space="0" w:color="auto"/>
                  </w:divBdr>
                </w:div>
              </w:divsChild>
            </w:div>
            <w:div w:id="1507792937">
              <w:marLeft w:val="0"/>
              <w:marRight w:val="0"/>
              <w:marTop w:val="0"/>
              <w:marBottom w:val="0"/>
              <w:divBdr>
                <w:top w:val="none" w:sz="0" w:space="0" w:color="auto"/>
                <w:left w:val="none" w:sz="0" w:space="0" w:color="auto"/>
                <w:bottom w:val="none" w:sz="0" w:space="0" w:color="auto"/>
                <w:right w:val="none" w:sz="0" w:space="0" w:color="auto"/>
              </w:divBdr>
              <w:divsChild>
                <w:div w:id="112466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795">
          <w:marLeft w:val="0"/>
          <w:marRight w:val="0"/>
          <w:marTop w:val="0"/>
          <w:marBottom w:val="0"/>
          <w:divBdr>
            <w:top w:val="none" w:sz="0" w:space="0" w:color="auto"/>
            <w:left w:val="none" w:sz="0" w:space="0" w:color="auto"/>
            <w:bottom w:val="none" w:sz="0" w:space="0" w:color="auto"/>
            <w:right w:val="none" w:sz="0" w:space="0" w:color="auto"/>
          </w:divBdr>
          <w:divsChild>
            <w:div w:id="1406956839">
              <w:marLeft w:val="0"/>
              <w:marRight w:val="0"/>
              <w:marTop w:val="0"/>
              <w:marBottom w:val="0"/>
              <w:divBdr>
                <w:top w:val="none" w:sz="0" w:space="0" w:color="auto"/>
                <w:left w:val="none" w:sz="0" w:space="0" w:color="auto"/>
                <w:bottom w:val="none" w:sz="0" w:space="0" w:color="auto"/>
                <w:right w:val="none" w:sz="0" w:space="0" w:color="auto"/>
              </w:divBdr>
              <w:divsChild>
                <w:div w:id="16037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Pfister</dc:creator>
  <cp:keywords/>
  <dc:description/>
  <cp:lastModifiedBy>Raven Pfister</cp:lastModifiedBy>
  <cp:revision>2</cp:revision>
  <dcterms:created xsi:type="dcterms:W3CDTF">2023-05-01T00:41:00Z</dcterms:created>
  <dcterms:modified xsi:type="dcterms:W3CDTF">2023-05-01T00:41:00Z</dcterms:modified>
</cp:coreProperties>
</file>