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5" w:val="left" w:leader="none"/>
        </w:tabs>
        <w:spacing w:line="240" w:lineRule="auto"/>
        <w:ind w:right="117"/>
        <w:jc w:val="right"/>
        <w:rPr>
          <w:b w:val="0"/>
          <w:bCs w:val="0"/>
        </w:rPr>
      </w:pPr>
      <w:r>
        <w:rPr/>
        <w:pict>
          <v:group style="position:absolute;margin-left:72pt;margin-top:13.505859pt;width:486pt;height:.1pt;mso-position-horizontal-relative:page;mso-position-vertical-relative:paragraph;z-index:-3112" coordorigin="1440,270" coordsize="9720,2">
            <v:shape style="position:absolute;left:1440;top:270;width:9720;height:2" coordorigin="1440,270" coordsize="9720,0" path="m1440,270l11160,270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line="266" w:lineRule="exact" w:before="113"/>
        <w:ind w:left="0" w:right="1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14-09</w:t>
      </w:r>
      <w:r>
        <w:rPr>
          <w:rFonts w:ascii="Arial"/>
          <w:sz w:val="24"/>
        </w:rPr>
      </w:r>
    </w:p>
    <w:p>
      <w:pPr>
        <w:spacing w:line="197" w:lineRule="exact" w:before="0"/>
        <w:ind w:left="0" w:right="11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August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8, 2014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49"/>
        <w:ind w:left="144" w:right="0"/>
        <w:jc w:val="center"/>
        <w:rPr>
          <w:b w:val="0"/>
          <w:bCs w:val="0"/>
        </w:rPr>
      </w:pPr>
      <w:r>
        <w:rPr>
          <w:color w:val="231F20"/>
          <w:spacing w:val="-1"/>
        </w:rPr>
        <w:t>Academic</w:t>
      </w:r>
      <w:r>
        <w:rPr>
          <w:color w:val="231F20"/>
          <w:spacing w:val="-8"/>
        </w:rPr>
        <w:t> </w:t>
      </w:r>
      <w:r>
        <w:rPr>
          <w:color w:val="231F20"/>
        </w:rPr>
        <w:t>Minors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/>
        <w:ind w:left="3034" w:right="0" w:firstLine="0"/>
        <w:jc w:val="left"/>
      </w:pPr>
      <w:r>
        <w:rPr>
          <w:color w:val="333333"/>
        </w:rPr>
        <w:t>(This</w:t>
      </w:r>
      <w:r>
        <w:rPr>
          <w:color w:val="333333"/>
          <w:spacing w:val="-1"/>
        </w:rPr>
        <w:t> policy</w:t>
      </w:r>
      <w:r>
        <w:rPr>
          <w:color w:val="333333"/>
        </w:rPr>
        <w:t> supersedes</w:t>
      </w:r>
      <w:r>
        <w:rPr>
          <w:color w:val="333333"/>
          <w:spacing w:val="-1"/>
        </w:rPr>
        <w:t> </w:t>
      </w:r>
      <w:r>
        <w:rPr>
          <w:color w:val="333333"/>
        </w:rPr>
        <w:t>Policy</w:t>
      </w:r>
      <w:r>
        <w:rPr>
          <w:color w:val="333333"/>
          <w:spacing w:val="-1"/>
        </w:rPr>
        <w:t> </w:t>
      </w:r>
      <w:r>
        <w:rPr>
          <w:color w:val="333333"/>
        </w:rPr>
        <w:t>Statement</w:t>
      </w:r>
      <w:r>
        <w:rPr>
          <w:color w:val="333333"/>
          <w:spacing w:val="-1"/>
        </w:rPr>
        <w:t> 00-04)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0" w:lineRule="auto"/>
        <w:ind w:left="2820" w:right="1568" w:hanging="871"/>
        <w:jc w:val="left"/>
      </w:pPr>
      <w:r>
        <w:rPr>
          <w:color w:val="333333"/>
        </w:rPr>
        <w:t>This</w:t>
      </w:r>
      <w:r>
        <w:rPr>
          <w:color w:val="333333"/>
          <w:spacing w:val="-1"/>
        </w:rPr>
        <w:t> policy</w:t>
      </w:r>
      <w:r>
        <w:rPr>
          <w:color w:val="333333"/>
        </w:rPr>
        <w:t> </w:t>
      </w:r>
      <w:r>
        <w:rPr>
          <w:color w:val="333333"/>
          <w:spacing w:val="-1"/>
        </w:rPr>
        <w:t>was</w:t>
      </w:r>
      <w:r>
        <w:rPr>
          <w:color w:val="333333"/>
        </w:rPr>
        <w:t> recommended</w:t>
      </w:r>
      <w:r>
        <w:rPr>
          <w:color w:val="333333"/>
          <w:spacing w:val="-1"/>
        </w:rPr>
        <w:t> by</w:t>
      </w:r>
      <w:r>
        <w:rPr>
          <w:color w:val="333333"/>
        </w:rPr>
        <w:t> the</w:t>
      </w:r>
      <w:r>
        <w:rPr>
          <w:color w:val="333333"/>
          <w:spacing w:val="-11"/>
        </w:rPr>
        <w:t> </w:t>
      </w:r>
      <w:r>
        <w:rPr>
          <w:color w:val="333333"/>
        </w:rPr>
        <w:t>Academic</w:t>
      </w:r>
      <w:r>
        <w:rPr>
          <w:color w:val="333333"/>
          <w:spacing w:val="-1"/>
        </w:rPr>
        <w:t> </w:t>
      </w:r>
      <w:r>
        <w:rPr>
          <w:color w:val="333333"/>
        </w:rPr>
        <w:t>Senate</w:t>
      </w:r>
      <w:r>
        <w:rPr>
          <w:color w:val="333333"/>
          <w:spacing w:val="-1"/>
        </w:rPr>
        <w:t> on</w:t>
      </w:r>
      <w:r>
        <w:rPr>
          <w:color w:val="333333"/>
          <w:spacing w:val="-11"/>
        </w:rPr>
        <w:t> </w:t>
      </w:r>
      <w:r>
        <w:rPr>
          <w:color w:val="333333"/>
        </w:rPr>
        <w:t>April</w:t>
      </w:r>
      <w:r>
        <w:rPr>
          <w:color w:val="333333"/>
          <w:spacing w:val="-1"/>
        </w:rPr>
        <w:t> 10,</w:t>
      </w:r>
      <w:r>
        <w:rPr>
          <w:color w:val="333333"/>
        </w:rPr>
        <w:t> </w:t>
      </w:r>
      <w:r>
        <w:rPr>
          <w:color w:val="333333"/>
          <w:spacing w:val="-1"/>
        </w:rPr>
        <w:t>2014</w:t>
      </w:r>
      <w:r>
        <w:rPr>
          <w:color w:val="333333"/>
          <w:spacing w:val="25"/>
        </w:rPr>
        <w:t> </w:t>
      </w:r>
      <w:r>
        <w:rPr>
          <w:color w:val="333333"/>
          <w:spacing w:val="-1"/>
        </w:rPr>
        <w:t>and</w:t>
      </w:r>
      <w:r>
        <w:rPr>
          <w:color w:val="333333"/>
        </w:rPr>
        <w:t> concurred</w:t>
      </w:r>
      <w:r>
        <w:rPr>
          <w:color w:val="333333"/>
          <w:spacing w:val="-1"/>
        </w:rPr>
        <w:t> by</w:t>
      </w:r>
      <w:r>
        <w:rPr>
          <w:color w:val="333333"/>
        </w:rPr>
        <w:t> the</w:t>
      </w:r>
      <w:r>
        <w:rPr>
          <w:color w:val="333333"/>
          <w:spacing w:val="-1"/>
        </w:rPr>
        <w:t> </w:t>
      </w:r>
      <w:r>
        <w:rPr>
          <w:color w:val="333333"/>
        </w:rPr>
        <w:t>President</w:t>
      </w:r>
      <w:r>
        <w:rPr>
          <w:color w:val="333333"/>
          <w:spacing w:val="-1"/>
        </w:rPr>
        <w:t> on</w:t>
      </w:r>
      <w:r>
        <w:rPr>
          <w:color w:val="333333"/>
        </w:rPr>
        <w:t> July</w:t>
      </w:r>
      <w:r>
        <w:rPr>
          <w:color w:val="333333"/>
          <w:spacing w:val="-1"/>
        </w:rPr>
        <w:t> 30,</w:t>
      </w:r>
      <w:r>
        <w:rPr>
          <w:color w:val="333333"/>
        </w:rPr>
        <w:t> </w:t>
      </w:r>
      <w:r>
        <w:rPr>
          <w:color w:val="333333"/>
          <w:spacing w:val="-1"/>
        </w:rPr>
        <w:t>2014.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tabs>
          <w:tab w:pos="15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spacing w:val="-1"/>
        </w:rPr>
        <w:t>1.0</w:t>
        <w:tab/>
        <w:t>REQUIREMENTS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10"/>
        </w:rPr>
        <w:t> </w:t>
      </w:r>
      <w:r>
        <w:rPr>
          <w:color w:val="333333"/>
        </w:rPr>
        <w:t>MINOR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20" w:lineRule="exact" w:before="0" w:after="0"/>
        <w:ind w:left="1436" w:right="240" w:hanging="274"/>
        <w:jc w:val="left"/>
      </w:pP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minor consists of a minimum of fifteen units, as specified by the department or program, at</w:t>
      </w:r>
      <w:r>
        <w:rPr>
          <w:rFonts w:ascii="Arial"/>
          <w:color w:val="231F20"/>
        </w:rPr>
        <w:t> </w:t>
      </w:r>
      <w:r>
        <w:rPr>
          <w:color w:val="231F20"/>
          <w:spacing w:val="-1"/>
        </w:rPr>
        <w:t>least </w:t>
      </w:r>
      <w:r>
        <w:rPr>
          <w:color w:val="231F20"/>
        </w:rPr>
        <w:t>six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which </w:t>
      </w:r>
      <w:r>
        <w:rPr>
          <w:color w:val="231F20"/>
        </w:rPr>
        <w:t>must</w:t>
      </w:r>
      <w:r>
        <w:rPr>
          <w:color w:val="231F20"/>
          <w:spacing w:val="-1"/>
        </w:rPr>
        <w:t> be upper</w:t>
      </w:r>
      <w:r>
        <w:rPr>
          <w:color w:val="231F20"/>
        </w:rPr>
        <w:t> </w:t>
      </w:r>
      <w:r>
        <w:rPr>
          <w:color w:val="231F20"/>
          <w:spacing w:val="-1"/>
        </w:rPr>
        <w:t>division.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40" w:lineRule="auto" w:before="0" w:after="0"/>
        <w:ind w:left="1580" w:right="0" w:hanging="418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minimum</w:t>
      </w:r>
      <w:r>
        <w:rPr>
          <w:color w:val="231F20"/>
          <w:spacing w:val="-1"/>
        </w:rPr>
        <w:t> overall </w:t>
      </w:r>
      <w:r>
        <w:rPr>
          <w:color w:val="231F20"/>
          <w:spacing w:val="-6"/>
        </w:rPr>
        <w:t>GPA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 </w:t>
      </w:r>
      <w:r>
        <w:rPr>
          <w:color w:val="231F20"/>
        </w:rPr>
        <w:t>courses</w:t>
      </w:r>
      <w:r>
        <w:rPr>
          <w:color w:val="231F20"/>
          <w:spacing w:val="-1"/>
        </w:rPr>
        <w:t> </w:t>
      </w:r>
      <w:r>
        <w:rPr>
          <w:color w:val="231F20"/>
        </w:rPr>
        <w:t>toward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minor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2.0.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40" w:lineRule="auto" w:before="0" w:after="0"/>
        <w:ind w:left="1580" w:right="0" w:hanging="418"/>
        <w:jc w:val="left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minimum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six</w:t>
      </w:r>
      <w:r>
        <w:rPr>
          <w:color w:val="231F20"/>
          <w:spacing w:val="-1"/>
        </w:rPr>
        <w:t> units of </w:t>
      </w:r>
      <w:r>
        <w:rPr>
          <w:color w:val="231F20"/>
        </w:rPr>
        <w:t>coursework</w:t>
      </w:r>
      <w:r>
        <w:rPr>
          <w:color w:val="231F20"/>
          <w:spacing w:val="-2"/>
        </w:rPr>
        <w:t> </w:t>
      </w:r>
      <w:r>
        <w:rPr>
          <w:color w:val="231F20"/>
        </w:rPr>
        <w:t>towards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minor</w:t>
      </w:r>
      <w:r>
        <w:rPr>
          <w:color w:val="231F20"/>
          <w:spacing w:val="-2"/>
        </w:rPr>
        <w:t> </w:t>
      </w:r>
      <w:r>
        <w:rPr>
          <w:color w:val="231F20"/>
        </w:rPr>
        <w:t>must</w:t>
      </w:r>
      <w:r>
        <w:rPr>
          <w:color w:val="231F20"/>
          <w:spacing w:val="-1"/>
        </w:rPr>
        <w:t> be </w:t>
      </w:r>
      <w:r>
        <w:rPr>
          <w:color w:val="231F20"/>
        </w:rPr>
        <w:t>taken</w:t>
      </w:r>
      <w:r>
        <w:rPr>
          <w:color w:val="231F20"/>
          <w:spacing w:val="-1"/>
        </w:rPr>
        <w:t> at CSULB.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1579" w:val="left" w:leader="none"/>
        </w:tabs>
        <w:spacing w:line="240" w:lineRule="auto" w:before="150"/>
        <w:ind w:right="0"/>
        <w:jc w:val="left"/>
        <w:rPr>
          <w:b w:val="0"/>
          <w:bCs w:val="0"/>
        </w:rPr>
      </w:pPr>
      <w:r>
        <w:rPr>
          <w:color w:val="333333"/>
          <w:spacing w:val="-1"/>
        </w:rPr>
        <w:t>2.0</w:t>
        <w:tab/>
      </w:r>
      <w:r>
        <w:rPr>
          <w:color w:val="333333"/>
          <w:spacing w:val="-2"/>
        </w:rPr>
        <w:t>RELATIONSHIP</w:t>
      </w:r>
      <w:r>
        <w:rPr>
          <w:color w:val="333333"/>
          <w:spacing w:val="-7"/>
        </w:rPr>
        <w:t> </w:t>
      </w:r>
      <w:r>
        <w:rPr>
          <w:color w:val="333333"/>
        </w:rPr>
        <w:t>OF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ACADEMIC</w:t>
      </w:r>
      <w:r>
        <w:rPr>
          <w:color w:val="333333"/>
          <w:spacing w:val="-3"/>
        </w:rPr>
        <w:t> </w:t>
      </w:r>
      <w:r>
        <w:rPr>
          <w:color w:val="333333"/>
        </w:rPr>
        <w:t>MINORS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TO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ACADEMIC</w:t>
      </w:r>
      <w:r>
        <w:rPr>
          <w:color w:val="333333"/>
          <w:spacing w:val="-2"/>
        </w:rPr>
        <w:t> </w:t>
      </w:r>
      <w:r>
        <w:rPr>
          <w:color w:val="333333"/>
        </w:rPr>
        <w:t>MAJORS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20" w:lineRule="exact" w:before="0" w:after="0"/>
        <w:ind w:left="1436" w:right="249" w:hanging="274"/>
        <w:jc w:val="left"/>
      </w:pPr>
      <w:r>
        <w:rPr>
          <w:rFonts w:ascii="Arial"/>
          <w:color w:val="231F20"/>
        </w:rPr>
        <w:t>Minors are awarded only as part of a baccalaureate degree. Students may not finish a minor </w:t>
      </w:r>
      <w:r>
        <w:rPr>
          <w:color w:val="231F20"/>
          <w:spacing w:val="-1"/>
        </w:rPr>
        <w:t>after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 graduated.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548" w:val="left" w:leader="none"/>
        </w:tabs>
        <w:spacing w:line="220" w:lineRule="exact" w:before="0" w:after="0"/>
        <w:ind w:left="1436" w:right="119" w:hanging="274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be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single</w:t>
      </w:r>
      <w:r>
        <w:rPr>
          <w:color w:val="231F20"/>
          <w:spacing w:val="-1"/>
        </w:rPr>
        <w:t> </w:t>
      </w:r>
      <w:r>
        <w:rPr>
          <w:color w:val="231F20"/>
        </w:rPr>
        <w:t>subject</w:t>
      </w:r>
      <w:r>
        <w:rPr>
          <w:color w:val="231F20"/>
          <w:spacing w:val="-1"/>
        </w:rPr>
        <w:t> or</w:t>
      </w:r>
      <w:r>
        <w:rPr>
          <w:color w:val="231F20"/>
        </w:rPr>
        <w:t> </w:t>
      </w:r>
      <w:r>
        <w:rPr>
          <w:color w:val="231F20"/>
          <w:spacing w:val="-2"/>
        </w:rPr>
        <w:t>interdisciplinary.</w:t>
      </w:r>
      <w:r>
        <w:rPr>
          <w:color w:val="231F20"/>
        </w:rPr>
        <w:t> Students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not</w:t>
      </w:r>
      <w:r>
        <w:rPr>
          <w:color w:val="231F20"/>
        </w:rPr>
        <w:t> </w:t>
      </w:r>
      <w:r>
        <w:rPr>
          <w:color w:val="231F20"/>
          <w:spacing w:val="-1"/>
        </w:rPr>
        <w:t>declare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receive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in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2"/>
        </w:rPr>
        <w:t> </w:t>
      </w:r>
      <w:r>
        <w:rPr>
          <w:color w:val="231F20"/>
        </w:rPr>
        <w:t>subject</w:t>
      </w:r>
      <w:r>
        <w:rPr>
          <w:color w:val="231F20"/>
          <w:spacing w:val="-1"/>
        </w:rPr>
        <w:t> as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major,</w:t>
      </w:r>
      <w:r>
        <w:rPr>
          <w:color w:val="231F20"/>
          <w:spacing w:val="-1"/>
        </w:rPr>
        <w:t> and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major</w:t>
      </w:r>
      <w:r>
        <w:rPr>
          <w:color w:val="231F20"/>
          <w:spacing w:val="-1"/>
        </w:rPr>
        <w:t> and </w:t>
      </w:r>
      <w:r>
        <w:rPr>
          <w:color w:val="231F20"/>
        </w:rPr>
        <w:t>minor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not have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2"/>
        </w:rPr>
        <w:t> </w:t>
      </w:r>
      <w:r>
        <w:rPr>
          <w:color w:val="231F20"/>
        </w:rPr>
        <w:t>title.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description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each </w:t>
      </w:r>
      <w:r>
        <w:rPr>
          <w:color w:val="231F20"/>
        </w:rPr>
        <w:t>minor</w:t>
      </w:r>
      <w:r>
        <w:rPr>
          <w:color w:val="231F20"/>
          <w:spacing w:val="-1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have</w:t>
      </w:r>
      <w:r>
        <w:rPr>
          <w:color w:val="231F20"/>
        </w:rPr>
        <w:t> a</w:t>
      </w:r>
      <w:r>
        <w:rPr>
          <w:color w:val="231F20"/>
          <w:spacing w:val="-2"/>
        </w:rPr>
        <w:t> </w:t>
      </w:r>
      <w:r>
        <w:rPr>
          <w:color w:val="231F20"/>
        </w:rPr>
        <w:t>statement</w:t>
      </w:r>
      <w:r>
        <w:rPr>
          <w:color w:val="231F20"/>
          <w:spacing w:val="-1"/>
        </w:rPr>
        <w:t> listing</w:t>
      </w:r>
      <w:r>
        <w:rPr>
          <w:color w:val="231F20"/>
        </w:rPr>
        <w:t> </w:t>
      </w:r>
      <w:r>
        <w:rPr>
          <w:color w:val="231F20"/>
          <w:spacing w:val="-1"/>
        </w:rPr>
        <w:t>all</w:t>
      </w:r>
      <w:r>
        <w:rPr>
          <w:color w:val="231F20"/>
        </w:rPr>
        <w:t> majors,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if</w:t>
      </w:r>
      <w:r>
        <w:rPr>
          <w:color w:val="231F20"/>
        </w:rPr>
        <w:t> </w:t>
      </w:r>
      <w:r>
        <w:rPr>
          <w:color w:val="231F20"/>
          <w:spacing w:val="-5"/>
        </w:rPr>
        <w:t>any</w:t>
      </w:r>
      <w:r>
        <w:rPr>
          <w:color w:val="231F20"/>
          <w:spacing w:val="-6"/>
        </w:rPr>
        <w:t>,</w:t>
      </w:r>
      <w:r>
        <w:rPr>
          <w:color w:val="231F20"/>
        </w:rPr>
        <w:t> that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not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</w:rPr>
        <w:t>combined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particular </w:t>
      </w:r>
      <w:r>
        <w:rPr>
          <w:color w:val="231F20"/>
          <w:spacing w:val="-2"/>
        </w:rPr>
        <w:t>minor.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20" w:lineRule="exact" w:before="0" w:after="0"/>
        <w:ind w:left="1436" w:right="449" w:hanging="274"/>
        <w:jc w:val="left"/>
      </w:pPr>
      <w:r>
        <w:rPr>
          <w:color w:val="333333"/>
        </w:rPr>
        <w:t>Students</w:t>
      </w:r>
      <w:r>
        <w:rPr>
          <w:color w:val="333333"/>
          <w:spacing w:val="-2"/>
        </w:rPr>
        <w:t> </w:t>
      </w:r>
      <w:r>
        <w:rPr>
          <w:color w:val="333333"/>
        </w:rPr>
        <w:t>should</w:t>
      </w:r>
      <w:r>
        <w:rPr>
          <w:color w:val="333333"/>
          <w:spacing w:val="-2"/>
        </w:rPr>
        <w:t> </w:t>
      </w:r>
      <w:r>
        <w:rPr>
          <w:color w:val="333333"/>
        </w:rPr>
        <w:t>refer to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requirements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of</w:t>
      </w:r>
      <w:r>
        <w:rPr>
          <w:color w:val="333333"/>
        </w:rPr>
        <w:t> 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department</w:t>
      </w:r>
      <w:r>
        <w:rPr>
          <w:color w:val="333333"/>
        </w:rPr>
        <w:t> </w:t>
      </w:r>
      <w:r>
        <w:rPr>
          <w:color w:val="333333"/>
          <w:spacing w:val="-1"/>
        </w:rPr>
        <w:t>and </w:t>
      </w:r>
      <w:r>
        <w:rPr>
          <w:color w:val="333333"/>
        </w:rPr>
        <w:t>college</w:t>
      </w:r>
      <w:r>
        <w:rPr>
          <w:color w:val="333333"/>
          <w:spacing w:val="-1"/>
        </w:rPr>
        <w:t> of </w:t>
      </w:r>
      <w:r>
        <w:rPr>
          <w:color w:val="333333"/>
        </w:rPr>
        <w:t>their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major,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26"/>
          <w:w w:val="99"/>
        </w:rPr>
        <w:t> </w:t>
      </w:r>
      <w:r>
        <w:rPr>
          <w:color w:val="333333"/>
        </w:rPr>
        <w:t>see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whether</w:t>
      </w:r>
      <w:r>
        <w:rPr>
          <w:color w:val="333333"/>
        </w:rPr>
        <w:t> a</w:t>
      </w:r>
      <w:r>
        <w:rPr>
          <w:color w:val="333333"/>
          <w:spacing w:val="-2"/>
        </w:rPr>
        <w:t> </w:t>
      </w:r>
      <w:r>
        <w:rPr>
          <w:color w:val="333333"/>
        </w:rPr>
        <w:t>minor</w:t>
      </w:r>
      <w:r>
        <w:rPr>
          <w:color w:val="333333"/>
          <w:spacing w:val="-1"/>
        </w:rPr>
        <w:t> is</w:t>
      </w:r>
      <w:r>
        <w:rPr>
          <w:color w:val="333333"/>
        </w:rPr>
        <w:t> required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1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major.</w:t>
      </w:r>
      <w:r>
        <w:rPr>
          <w:color w:val="333333"/>
          <w:spacing w:val="-1"/>
        </w:rPr>
        <w:t> </w:t>
      </w:r>
      <w:r>
        <w:rPr>
          <w:color w:val="333333"/>
        </w:rPr>
        <w:t>Even</w:t>
      </w:r>
      <w:r>
        <w:rPr>
          <w:color w:val="333333"/>
          <w:spacing w:val="-1"/>
        </w:rPr>
        <w:t> if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minor</w:t>
      </w:r>
      <w:r>
        <w:rPr>
          <w:color w:val="333333"/>
          <w:spacing w:val="-1"/>
        </w:rPr>
        <w:t> is not</w:t>
      </w:r>
      <w:r>
        <w:rPr>
          <w:color w:val="333333"/>
        </w:rPr>
        <w:t> required,</w:t>
      </w:r>
      <w:r>
        <w:rPr>
          <w:color w:val="333333"/>
          <w:spacing w:val="-1"/>
        </w:rPr>
        <w:t> </w:t>
      </w:r>
      <w:r>
        <w:rPr>
          <w:color w:val="333333"/>
        </w:rPr>
        <w:t>students</w:t>
      </w:r>
      <w:r>
        <w:rPr>
          <w:color w:val="333333"/>
          <w:spacing w:val="-2"/>
        </w:rPr>
        <w:t> </w:t>
      </w:r>
      <w:r>
        <w:rPr>
          <w:color w:val="333333"/>
        </w:rPr>
        <w:t>may</w:t>
      </w:r>
      <w:r>
        <w:rPr>
          <w:color w:val="333333"/>
          <w:spacing w:val="27"/>
        </w:rPr>
        <w:t> </w:t>
      </w:r>
      <w:r>
        <w:rPr>
          <w:color w:val="333333"/>
          <w:spacing w:val="-1"/>
        </w:rPr>
        <w:t>elect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complete</w:t>
      </w:r>
      <w:r>
        <w:rPr>
          <w:color w:val="333333"/>
          <w:spacing w:val="-1"/>
        </w:rPr>
        <w:t> one</w:t>
      </w:r>
      <w:r>
        <w:rPr>
          <w:color w:val="333333"/>
        </w:rPr>
        <w:t> </w:t>
      </w:r>
      <w:r>
        <w:rPr>
          <w:color w:val="333333"/>
          <w:spacing w:val="-1"/>
        </w:rPr>
        <w:t>or</w:t>
      </w:r>
      <w:r>
        <w:rPr>
          <w:color w:val="333333"/>
        </w:rPr>
        <w:t> more</w:t>
      </w:r>
      <w:r>
        <w:rPr>
          <w:color w:val="333333"/>
          <w:spacing w:val="-2"/>
        </w:rPr>
        <w:t> </w:t>
      </w:r>
      <w:r>
        <w:rPr>
          <w:color w:val="333333"/>
        </w:rPr>
        <w:t>minors</w:t>
      </w:r>
      <w:r>
        <w:rPr>
          <w:color w:val="333333"/>
          <w:spacing w:val="-1"/>
        </w:rPr>
        <w:t> </w:t>
      </w:r>
      <w:r>
        <w:rPr>
          <w:color w:val="333333"/>
        </w:rPr>
        <w:t>from</w:t>
      </w:r>
      <w:r>
        <w:rPr>
          <w:color w:val="333333"/>
          <w:spacing w:val="-1"/>
        </w:rPr>
        <w:t> </w:t>
      </w:r>
      <w:r>
        <w:rPr>
          <w:color w:val="333333"/>
        </w:rPr>
        <w:t>those</w:t>
      </w:r>
      <w:r>
        <w:rPr>
          <w:color w:val="333333"/>
          <w:spacing w:val="-1"/>
        </w:rPr>
        <w:t> available.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EFFECTIVE:</w:t>
      </w:r>
      <w:r>
        <w:rPr>
          <w:rFonts w:ascii="Arial"/>
          <w:color w:val="231F20"/>
          <w:spacing w:val="-6"/>
          <w:sz w:val="18"/>
        </w:rPr>
        <w:t> </w:t>
      </w:r>
      <w:r>
        <w:rPr>
          <w:rFonts w:ascii="Arial"/>
          <w:color w:val="231F20"/>
          <w:sz w:val="18"/>
        </w:rPr>
        <w:t>Fall</w:t>
      </w:r>
      <w:r>
        <w:rPr>
          <w:rFonts w:ascii="Arial"/>
          <w:color w:val="231F20"/>
          <w:spacing w:val="-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2014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tabs>
          <w:tab w:pos="9650" w:val="right" w:leader="none"/>
        </w:tabs>
        <w:spacing w:before="69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PS </w:t>
      </w:r>
      <w:r>
        <w:rPr>
          <w:rFonts w:ascii="Arial"/>
          <w:color w:val="231F20"/>
          <w:spacing w:val="-1"/>
          <w:sz w:val="18"/>
        </w:rPr>
        <w:t>14-09</w:t>
        <w:tab/>
      </w:r>
      <w:r>
        <w:rPr>
          <w:rFonts w:ascii="Arial"/>
          <w:color w:val="231F20"/>
          <w:sz w:val="18"/>
        </w:rPr>
        <w:t>1</w:t>
      </w:r>
      <w:r>
        <w:rPr>
          <w:rFonts w:ascii="Arial"/>
          <w:sz w:val="18"/>
        </w:rPr>
      </w:r>
    </w:p>
    <w:sectPr>
      <w:type w:val="continuous"/>
      <w:pgSz w:w="12240" w:h="15840"/>
      <w:pgMar w:top="1000" w:bottom="280" w:left="13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436" w:hanging="4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418"/>
        <w:jc w:val="left"/>
      </w:pPr>
      <w:rPr>
        <w:rFonts w:hint="default" w:ascii="Arial" w:hAnsi="Arial" w:eastAsia="Arial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314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4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36" w:hanging="4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418"/>
        <w:jc w:val="left"/>
      </w:pPr>
      <w:rPr>
        <w:rFonts w:hint="default" w:ascii="Arial" w:hAnsi="Arial" w:eastAsia="Arial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314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41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6" w:hanging="27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0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2014-09-18T10:23:46Z</dcterms:created>
  <dcterms:modified xsi:type="dcterms:W3CDTF">2014-09-18T10:23:46Z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2014-09-18T00:00:00Z</vt:filetime>
  </property>
</Properties>
</file>