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4.105844pt;width:486pt;height:.1pt;mso-position-horizontal-relative:page;mso-position-vertical-relative:paragraph;z-index:-2800" coordorigin="1440,282" coordsize="9720,2">
            <v:shape style="position:absolute;left:1440;top:282;width:9720;height:2" coordorigin="1440,282" coordsize="9720,0" path="m1440,282l11160,282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line="266" w:lineRule="exact"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14-05</w:t>
      </w:r>
      <w:r>
        <w:rPr>
          <w:rFonts w:ascii="Arial"/>
          <w:sz w:val="24"/>
        </w:rPr>
      </w:r>
    </w:p>
    <w:p>
      <w:pPr>
        <w:spacing w:line="197" w:lineRule="exact" w:before="0"/>
        <w:ind w:left="0" w:right="11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July</w:t>
      </w:r>
      <w:r>
        <w:rPr>
          <w:rFonts w:ascii="Arial"/>
          <w:color w:val="231F20"/>
          <w:spacing w:val="-1"/>
          <w:sz w:val="18"/>
        </w:rPr>
        <w:t> 15,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exact" w:before="149"/>
        <w:ind w:left="861" w:right="840"/>
        <w:jc w:val="center"/>
        <w:rPr>
          <w:b w:val="0"/>
          <w:bCs w:val="0"/>
        </w:rPr>
      </w:pPr>
      <w:r>
        <w:rPr>
          <w:color w:val="231F20"/>
          <w:spacing w:val="-1"/>
        </w:rPr>
        <w:t>CONSENSUAL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AMOROUS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> </w:t>
      </w:r>
      <w:r>
        <w:rPr>
          <w:color w:val="231F20"/>
        </w:rPr>
        <w:t>SEXUAL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RELATIONSHIPS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8"/>
        </w:rPr>
        <w:t> </w:t>
      </w:r>
      <w:r>
        <w:rPr>
          <w:color w:val="231F20"/>
        </w:rPr>
        <w:t>EMPLOYEES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STUDENTS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55" w:lineRule="auto" w:before="0"/>
        <w:ind w:left="1653" w:right="163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1"/>
          <w:sz w:val="18"/>
        </w:rPr>
        <w:t> policy</w:t>
      </w:r>
      <w:r>
        <w:rPr>
          <w:rFonts w:ascii="Arial"/>
          <w:color w:val="231F20"/>
          <w:sz w:val="18"/>
        </w:rPr>
        <w:t> statement</w:t>
      </w:r>
      <w:r>
        <w:rPr>
          <w:rFonts w:ascii="Arial"/>
          <w:color w:val="231F20"/>
          <w:spacing w:val="-1"/>
          <w:sz w:val="18"/>
        </w:rPr>
        <w:t> was</w:t>
      </w:r>
      <w:r>
        <w:rPr>
          <w:rFonts w:ascii="Arial"/>
          <w:color w:val="231F20"/>
          <w:sz w:val="18"/>
        </w:rPr>
        <w:t> recommended</w:t>
      </w:r>
      <w:r>
        <w:rPr>
          <w:rFonts w:ascii="Arial"/>
          <w:color w:val="231F20"/>
          <w:spacing w:val="-1"/>
          <w:sz w:val="18"/>
        </w:rPr>
        <w:t> by</w:t>
      </w:r>
      <w:r>
        <w:rPr>
          <w:rFonts w:ascii="Arial"/>
          <w:color w:val="231F20"/>
          <w:sz w:val="18"/>
        </w:rPr>
        <w:t> the</w:t>
      </w:r>
      <w:r>
        <w:rPr>
          <w:rFonts w:ascii="Arial"/>
          <w:color w:val="231F20"/>
          <w:spacing w:val="-10"/>
          <w:sz w:val="18"/>
        </w:rPr>
        <w:t> </w:t>
      </w:r>
      <w:r>
        <w:rPr>
          <w:rFonts w:ascii="Arial"/>
          <w:color w:val="231F20"/>
          <w:sz w:val="18"/>
        </w:rPr>
        <w:t>Academic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Senate</w:t>
      </w:r>
      <w:r>
        <w:rPr>
          <w:rFonts w:ascii="Arial"/>
          <w:color w:val="231F20"/>
          <w:spacing w:val="-1"/>
          <w:sz w:val="18"/>
        </w:rPr>
        <w:t> on</w:t>
      </w:r>
      <w:r>
        <w:rPr>
          <w:rFonts w:ascii="Arial"/>
          <w:color w:val="231F20"/>
          <w:sz w:val="18"/>
        </w:rPr>
        <w:t> June</w:t>
      </w:r>
      <w:r>
        <w:rPr>
          <w:rFonts w:ascii="Arial"/>
          <w:color w:val="231F20"/>
          <w:spacing w:val="-1"/>
          <w:sz w:val="18"/>
        </w:rPr>
        <w:t> 18,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</w:t>
      </w:r>
      <w:r>
        <w:rPr>
          <w:rFonts w:ascii="Arial"/>
          <w:color w:val="231F20"/>
          <w:spacing w:val="2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approved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z w:val="18"/>
        </w:rPr>
        <w:t> the</w:t>
      </w:r>
      <w:r>
        <w:rPr>
          <w:rFonts w:ascii="Arial"/>
          <w:color w:val="231F20"/>
          <w:spacing w:val="-1"/>
          <w:sz w:val="18"/>
        </w:rPr>
        <w:t> </w:t>
      </w:r>
      <w:r>
        <w:rPr>
          <w:rFonts w:ascii="Arial"/>
          <w:color w:val="231F20"/>
          <w:sz w:val="18"/>
        </w:rPr>
        <w:t>President</w:t>
      </w:r>
      <w:r>
        <w:rPr>
          <w:rFonts w:ascii="Arial"/>
          <w:color w:val="231F20"/>
          <w:spacing w:val="-1"/>
          <w:sz w:val="18"/>
        </w:rPr>
        <w:t> on</w:t>
      </w:r>
      <w:r>
        <w:rPr>
          <w:rFonts w:ascii="Arial"/>
          <w:color w:val="231F20"/>
          <w:sz w:val="18"/>
        </w:rPr>
        <w:t> June</w:t>
      </w:r>
      <w:r>
        <w:rPr>
          <w:rFonts w:ascii="Arial"/>
          <w:color w:val="231F20"/>
          <w:spacing w:val="-1"/>
          <w:sz w:val="18"/>
        </w:rPr>
        <w:t> 19,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2014.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tabs>
          <w:tab w:pos="859" w:val="left" w:leader="none"/>
        </w:tabs>
        <w:spacing w:line="240" w:lineRule="auto" w:before="127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1.0</w:t>
        <w:tab/>
      </w:r>
      <w:r>
        <w:rPr>
          <w:color w:val="231F20"/>
        </w:rPr>
        <w:t>GUIDING</w:t>
      </w:r>
      <w:r>
        <w:rPr>
          <w:color w:val="231F20"/>
          <w:spacing w:val="-22"/>
        </w:rPr>
        <w:t> </w:t>
      </w:r>
      <w:r>
        <w:rPr>
          <w:color w:val="231F20"/>
        </w:rPr>
        <w:t>PRINCIPLES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20" w:lineRule="exact" w:before="0" w:after="0"/>
        <w:ind w:left="1580" w:right="293" w:hanging="720"/>
        <w:jc w:val="left"/>
      </w:pPr>
      <w:r>
        <w:rPr>
          <w:rFonts w:ascii="Calibri" w:hAnsi="Calibri" w:cs="Calibri" w:eastAsia="Calibri"/>
          <w:color w:val="231F20"/>
          <w:spacing w:val="-2"/>
        </w:rPr>
        <w:t>California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2"/>
        </w:rPr>
        <w:t>State </w:t>
      </w:r>
      <w:r>
        <w:rPr>
          <w:rFonts w:ascii="Calibri" w:hAnsi="Calibri" w:cs="Calibri" w:eastAsia="Calibri"/>
          <w:color w:val="231F20"/>
          <w:spacing w:val="-3"/>
        </w:rPr>
        <w:t>University,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Long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Beach,</w:t>
      </w:r>
      <w:r>
        <w:rPr>
          <w:rFonts w:ascii="Calibri" w:hAnsi="Calibri" w:cs="Calibri" w:eastAsia="Calibri"/>
          <w:color w:val="231F20"/>
          <w:spacing w:val="-2"/>
        </w:rPr>
        <w:t> recognizes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that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there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is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power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disparity between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a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student</w:t>
      </w:r>
      <w:r>
        <w:rPr>
          <w:rFonts w:ascii="Calibri" w:hAnsi="Calibri" w:cs="Calibri" w:eastAsia="Calibri"/>
          <w:color w:val="231F20"/>
          <w:spacing w:val="7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individual </w:t>
      </w:r>
      <w:r>
        <w:rPr>
          <w:color w:val="231F20"/>
          <w:spacing w:val="-1"/>
        </w:rPr>
        <w:t>[hereina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 </w:t>
      </w:r>
      <w:r>
        <w:rPr>
          <w:color w:val="231F20"/>
          <w:spacing w:val="-2"/>
        </w:rPr>
        <w:t>referred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as </w:t>
      </w:r>
      <w:r>
        <w:rPr>
          <w:color w:val="231F20"/>
          <w:spacing w:val="-3"/>
        </w:rPr>
        <w:t>“covered</w:t>
      </w:r>
      <w:r>
        <w:rPr>
          <w:color w:val="231F20"/>
          <w:spacing w:val="-1"/>
        </w:rPr>
        <w:t> </w:t>
      </w:r>
      <w:r>
        <w:rPr>
          <w:color w:val="231F20"/>
        </w:rPr>
        <w:t>individual”] who is </w:t>
      </w:r>
      <w:r>
        <w:rPr>
          <w:color w:val="231F20"/>
          <w:spacing w:val="-1"/>
        </w:rPr>
        <w:t>currently teaching,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evaluating, </w:t>
      </w:r>
      <w:r>
        <w:rPr>
          <w:color w:val="231F20"/>
        </w:rPr>
        <w:t>counseling, coaching,</w:t>
      </w:r>
      <w:r>
        <w:rPr>
          <w:color w:val="231F20"/>
          <w:spacing w:val="-1"/>
        </w:rPr>
        <w:t> </w:t>
      </w:r>
      <w:r>
        <w:rPr>
          <w:color w:val="231F20"/>
        </w:rPr>
        <w:t>advising, </w:t>
      </w:r>
      <w:r>
        <w:rPr>
          <w:color w:val="231F20"/>
          <w:spacing w:val="-1"/>
        </w:rPr>
        <w:t>and/or </w:t>
      </w:r>
      <w:r>
        <w:rPr>
          <w:color w:val="231F20"/>
        </w:rPr>
        <w:t>supervising </w:t>
      </w:r>
      <w:r>
        <w:rPr>
          <w:color w:val="231F20"/>
          <w:spacing w:val="-1"/>
        </w:rPr>
        <w:t>that student.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line="220" w:lineRule="exact" w:before="0" w:after="0"/>
        <w:ind w:left="1580" w:right="522" w:hanging="720"/>
        <w:jc w:val="left"/>
      </w:pPr>
      <w:r>
        <w:rPr>
          <w:color w:val="231F20"/>
        </w:rPr>
        <w:t>Consensual</w:t>
      </w:r>
      <w:r>
        <w:rPr>
          <w:color w:val="231F20"/>
          <w:spacing w:val="-1"/>
        </w:rPr>
        <w:t> amorous</w:t>
      </w:r>
      <w:r>
        <w:rPr>
          <w:color w:val="231F20"/>
        </w:rPr>
        <w:t> or </w:t>
      </w:r>
      <w:r>
        <w:rPr>
          <w:color w:val="231F20"/>
          <w:spacing w:val="-1"/>
        </w:rPr>
        <w:t>sexual relations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a</w:t>
      </w:r>
      <w:r>
        <w:rPr>
          <w:color w:val="231F20"/>
          <w:spacing w:val="-1"/>
        </w:rPr>
        <w:t> student</w:t>
      </w:r>
      <w:r>
        <w:rPr>
          <w:color w:val="231F20"/>
        </w:rPr>
        <w:t> and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</w:rPr>
        <w:t> individual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conflict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-1"/>
        </w:rPr>
        <w:t> that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lead</w:t>
      </w:r>
      <w:r>
        <w:rPr>
          <w:color w:val="231F20"/>
          <w:spacing w:val="-1"/>
        </w:rPr>
        <w:t> to complaints</w:t>
      </w:r>
      <w:r>
        <w:rPr>
          <w:color w:val="231F20"/>
        </w:rPr>
        <w:t> of</w:t>
      </w:r>
      <w:r>
        <w:rPr>
          <w:color w:val="231F20"/>
          <w:spacing w:val="-1"/>
        </w:rPr>
        <w:t> favoritism, lower morale, adverse e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ects 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student </w:t>
      </w:r>
      <w:r>
        <w:rPr>
          <w:color w:val="231F20"/>
          <w:spacing w:val="-2"/>
        </w:rPr>
        <w:t>welfare,</w:t>
      </w:r>
      <w:r>
        <w:rPr>
          <w:color w:val="231F20"/>
          <w:spacing w:val="-1"/>
        </w:rPr>
        <w:t> damaged</w:t>
      </w:r>
      <w:r>
        <w:rPr>
          <w:color w:val="231F20"/>
        </w:rPr>
        <w:t> learning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working relationships,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claims of</w:t>
      </w:r>
      <w:r>
        <w:rPr>
          <w:color w:val="231F20"/>
          <w:spacing w:val="-1"/>
        </w:rPr>
        <w:t> sexual harassment</w:t>
      </w:r>
      <w:r>
        <w:rPr>
          <w:color w:val="231F20"/>
        </w:rPr>
        <w:t> or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discrimination.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2.0</w:t>
        <w:tab/>
      </w:r>
      <w:r>
        <w:rPr>
          <w:color w:val="231F20"/>
        </w:rPr>
        <w:t>POLICY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TEMENT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580" w:right="855" w:hanging="72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University </w:t>
      </w:r>
      <w:r>
        <w:rPr>
          <w:color w:val="231F20"/>
        </w:rPr>
        <w:t>will </w:t>
      </w:r>
      <w:r>
        <w:rPr>
          <w:color w:val="231F20"/>
          <w:spacing w:val="-2"/>
        </w:rPr>
        <w:t>regard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consensual amorous</w:t>
      </w:r>
      <w:r>
        <w:rPr>
          <w:color w:val="231F20"/>
        </w:rPr>
        <w:t> or</w:t>
      </w:r>
      <w:r>
        <w:rPr>
          <w:color w:val="231F20"/>
          <w:spacing w:val="-1"/>
        </w:rPr>
        <w:t> sexual</w:t>
      </w:r>
      <w:r>
        <w:rPr>
          <w:color w:val="231F20"/>
        </w:rPr>
        <w:t> </w:t>
      </w:r>
      <w:r>
        <w:rPr>
          <w:color w:val="231F20"/>
          <w:spacing w:val="-1"/>
        </w:rPr>
        <w:t>relationship between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  <w:spacing w:val="77"/>
        </w:rPr>
        <w:t> </w:t>
      </w:r>
      <w:r>
        <w:rPr>
          <w:color w:val="231F20"/>
        </w:rPr>
        <w:t>individual</w:t>
      </w:r>
      <w:r>
        <w:rPr>
          <w:color w:val="231F20"/>
          <w:spacing w:val="-1"/>
        </w:rPr>
        <w:t> </w:t>
      </w:r>
      <w:r>
        <w:rPr>
          <w:color w:val="231F20"/>
        </w:rPr>
        <w:t>and a </w:t>
      </w:r>
      <w:r>
        <w:rPr>
          <w:color w:val="231F20"/>
          <w:spacing w:val="-1"/>
        </w:rPr>
        <w:t>student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whom he or</w:t>
      </w:r>
      <w:r>
        <w:rPr>
          <w:color w:val="231F20"/>
          <w:spacing w:val="-1"/>
        </w:rPr>
        <w:t> </w:t>
      </w:r>
      <w:r>
        <w:rPr>
          <w:color w:val="231F20"/>
        </w:rPr>
        <w:t>she has a teaching, </w:t>
      </w:r>
      <w:r>
        <w:rPr>
          <w:color w:val="231F20"/>
          <w:spacing w:val="-1"/>
        </w:rPr>
        <w:t>evaluative,</w:t>
      </w:r>
      <w:r>
        <w:rPr>
          <w:color w:val="231F20"/>
        </w:rPr>
        <w:t> counseling,</w:t>
      </w:r>
      <w:r>
        <w:rPr>
          <w:color w:val="231F20"/>
          <w:spacing w:val="-1"/>
        </w:rPr>
        <w:t> </w:t>
      </w:r>
      <w:r>
        <w:rPr>
          <w:color w:val="231F20"/>
        </w:rPr>
        <w:t>coaching,</w:t>
      </w:r>
      <w:r>
        <w:rPr>
          <w:color w:val="231F20"/>
          <w:spacing w:val="27"/>
        </w:rPr>
        <w:t> </w:t>
      </w:r>
      <w:r>
        <w:rPr>
          <w:color w:val="231F20"/>
        </w:rPr>
        <w:t>advising,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supervisory</w:t>
      </w:r>
      <w:r>
        <w:rPr>
          <w:color w:val="231F20"/>
          <w:spacing w:val="-1"/>
        </w:rPr>
        <w:t> responsibilities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unprofessional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unacceptable.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580" w:right="176" w:hanging="72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University</w:t>
      </w:r>
      <w:r>
        <w:rPr>
          <w:color w:val="231F20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</w:rPr>
        <w:t> individuals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refrain</w:t>
      </w:r>
      <w:r>
        <w:rPr>
          <w:color w:val="231F20"/>
          <w:spacing w:val="-1"/>
        </w:rPr>
        <w:t> from</w:t>
      </w:r>
      <w:r>
        <w:rPr>
          <w:color w:val="231F20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teaching,</w:t>
      </w:r>
      <w:r>
        <w:rPr>
          <w:color w:val="231F20"/>
        </w:rPr>
        <w:t> </w:t>
      </w:r>
      <w:r>
        <w:rPr>
          <w:color w:val="231F20"/>
          <w:spacing w:val="-1"/>
        </w:rPr>
        <w:t>evaluative, </w:t>
      </w:r>
      <w:r>
        <w:rPr>
          <w:color w:val="231F20"/>
        </w:rPr>
        <w:t>counseling,</w:t>
      </w:r>
      <w:r>
        <w:rPr>
          <w:color w:val="231F20"/>
          <w:spacing w:val="69"/>
        </w:rPr>
        <w:t> </w:t>
      </w:r>
      <w:r>
        <w:rPr>
          <w:color w:val="231F20"/>
        </w:rPr>
        <w:t>coaching, advising, or supervisorial </w:t>
      </w:r>
      <w:r>
        <w:rPr>
          <w:color w:val="231F20"/>
          <w:spacing w:val="-1"/>
        </w:rPr>
        <w:t>role</w:t>
      </w:r>
      <w:r>
        <w:rPr>
          <w:color w:val="231F20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</w:rPr>
        <w:t> an individual with whom </w:t>
      </w:r>
      <w:r>
        <w:rPr>
          <w:color w:val="231F20"/>
          <w:spacing w:val="-1"/>
        </w:rPr>
        <w:t>he/she</w:t>
      </w:r>
      <w:r>
        <w:rPr>
          <w:color w:val="231F20"/>
        </w:rPr>
        <w:t> is </w:t>
      </w:r>
      <w:r>
        <w:rPr>
          <w:color w:val="231F20"/>
          <w:spacing w:val="-1"/>
        </w:rPr>
        <w:t>having</w:t>
      </w:r>
      <w:r>
        <w:rPr>
          <w:color w:val="231F20"/>
        </w:rPr>
        <w:t> an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amorous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sexual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relationship;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580" w:right="411" w:hanging="720"/>
        <w:jc w:val="left"/>
      </w:pP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</w:rPr>
        <w:t> individual</w:t>
      </w:r>
      <w:r>
        <w:rPr>
          <w:color w:val="231F20"/>
          <w:spacing w:val="-1"/>
        </w:rPr>
        <w:t> </w:t>
      </w:r>
      <w:r>
        <w:rPr>
          <w:color w:val="231F20"/>
        </w:rPr>
        <w:t>who is,</w:t>
      </w:r>
      <w:r>
        <w:rPr>
          <w:color w:val="231F20"/>
          <w:spacing w:val="-1"/>
        </w:rPr>
        <w:t> </w:t>
      </w:r>
      <w:r>
        <w:rPr>
          <w:color w:val="231F20"/>
        </w:rPr>
        <w:t>has been,</w:t>
      </w:r>
      <w:r>
        <w:rPr>
          <w:color w:val="231F20"/>
          <w:spacing w:val="-1"/>
        </w:rPr>
        <w:t> </w:t>
      </w:r>
      <w:r>
        <w:rPr>
          <w:color w:val="231F20"/>
        </w:rPr>
        <w:t>or </w:t>
      </w:r>
      <w:r>
        <w:rPr>
          <w:color w:val="231F20"/>
          <w:spacing w:val="-1"/>
        </w:rPr>
        <w:t>becomes</w:t>
      </w:r>
      <w:r>
        <w:rPr>
          <w:color w:val="231F20"/>
        </w:rPr>
        <w:t> </w:t>
      </w:r>
      <w:r>
        <w:rPr>
          <w:color w:val="231F20"/>
          <w:spacing w:val="-1"/>
        </w:rPr>
        <w:t>involved </w:t>
      </w:r>
      <w:r>
        <w:rPr>
          <w:color w:val="231F20"/>
        </w:rPr>
        <w:t>in an</w:t>
      </w:r>
      <w:r>
        <w:rPr>
          <w:color w:val="231F20"/>
          <w:spacing w:val="-1"/>
        </w:rPr>
        <w:t> amorous</w:t>
      </w:r>
      <w:r>
        <w:rPr>
          <w:color w:val="231F20"/>
        </w:rPr>
        <w:t> or</w:t>
      </w:r>
      <w:r>
        <w:rPr>
          <w:color w:val="231F20"/>
          <w:spacing w:val="-1"/>
        </w:rPr>
        <w:t> sexual</w:t>
      </w:r>
      <w:r>
        <w:rPr>
          <w:color w:val="231F20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student over</w:t>
      </w:r>
      <w:r>
        <w:rPr>
          <w:color w:val="231F20"/>
        </w:rPr>
        <w:t> whom</w:t>
      </w:r>
      <w:r>
        <w:rPr>
          <w:color w:val="231F20"/>
          <w:spacing w:val="-1"/>
        </w:rPr>
        <w:t> </w:t>
      </w:r>
      <w:r>
        <w:rPr>
          <w:color w:val="231F20"/>
        </w:rPr>
        <w:t>he or</w:t>
      </w:r>
      <w:r>
        <w:rPr>
          <w:color w:val="231F20"/>
          <w:spacing w:val="-1"/>
        </w:rPr>
        <w:t> </w:t>
      </w:r>
      <w:r>
        <w:rPr>
          <w:color w:val="231F20"/>
        </w:rPr>
        <w:t>she </w:t>
      </w:r>
      <w:r>
        <w:rPr>
          <w:color w:val="231F20"/>
          <w:spacing w:val="-1"/>
        </w:rPr>
        <w:t>currently </w:t>
      </w:r>
      <w:r>
        <w:rPr>
          <w:color w:val="231F20"/>
        </w:rPr>
        <w:t>has </w:t>
      </w:r>
      <w:r>
        <w:rPr>
          <w:color w:val="231F20"/>
          <w:spacing w:val="-2"/>
        </w:rPr>
        <w:t>authority,</w:t>
      </w:r>
      <w:r>
        <w:rPr>
          <w:color w:val="231F20"/>
          <w:spacing w:val="-1"/>
        </w:rPr>
        <w:t> influence,</w:t>
      </w:r>
      <w:r>
        <w:rPr>
          <w:color w:val="231F20"/>
        </w:rPr>
        <w:t> or</w:t>
      </w:r>
      <w:r>
        <w:rPr>
          <w:color w:val="231F20"/>
          <w:spacing w:val="-1"/>
        </w:rPr>
        <w:t> responsibility</w:t>
      </w:r>
      <w:r>
        <w:rPr>
          <w:color w:val="231F2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promptly inform </w:t>
      </w:r>
      <w:r>
        <w:rPr>
          <w:color w:val="231F20"/>
        </w:rPr>
        <w:t>his or</w:t>
      </w:r>
      <w:r>
        <w:rPr>
          <w:color w:val="231F20"/>
          <w:spacing w:val="-1"/>
        </w:rPr>
        <w:t> </w:t>
      </w:r>
      <w:r>
        <w:rPr>
          <w:color w:val="231F20"/>
        </w:rPr>
        <w:t>her</w:t>
      </w:r>
      <w:r>
        <w:rPr>
          <w:color w:val="231F20"/>
          <w:spacing w:val="-1"/>
        </w:rPr>
        <w:t> immediate</w:t>
      </w:r>
      <w:r>
        <w:rPr>
          <w:color w:val="231F20"/>
        </w:rPr>
        <w:t> supervisor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such </w:t>
      </w:r>
      <w:r>
        <w:rPr>
          <w:color w:val="231F20"/>
          <w:spacing w:val="-1"/>
        </w:rPr>
        <w:t>relationship.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Moreover,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20" w:lineRule="exact" w:before="0" w:after="0"/>
        <w:ind w:left="2300" w:right="224" w:hanging="720"/>
        <w:jc w:val="left"/>
      </w:pP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</w:rPr>
        <w:t> individual who is, has been or </w:t>
      </w:r>
      <w:r>
        <w:rPr>
          <w:color w:val="231F20"/>
          <w:spacing w:val="-1"/>
        </w:rPr>
        <w:t>becomes</w:t>
      </w:r>
      <w:r>
        <w:rPr>
          <w:color w:val="231F20"/>
        </w:rPr>
        <w:t> </w:t>
      </w:r>
      <w:r>
        <w:rPr>
          <w:color w:val="231F20"/>
          <w:spacing w:val="-1"/>
        </w:rPr>
        <w:t>involved</w:t>
      </w:r>
      <w:r>
        <w:rPr>
          <w:color w:val="231F20"/>
        </w:rPr>
        <w:t> in an </w:t>
      </w:r>
      <w:r>
        <w:rPr>
          <w:color w:val="231F20"/>
          <w:spacing w:val="-1"/>
        </w:rPr>
        <w:t>amorous</w:t>
      </w:r>
      <w:r>
        <w:rPr>
          <w:color w:val="231F20"/>
        </w:rPr>
        <w:t> or </w:t>
      </w:r>
      <w:r>
        <w:rPr>
          <w:color w:val="231F20"/>
          <w:spacing w:val="-1"/>
        </w:rPr>
        <w:t>sexual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student must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remove </w:t>
      </w:r>
      <w:r>
        <w:rPr>
          <w:color w:val="231F20"/>
        </w:rPr>
        <w:t>himself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herself from</w:t>
      </w:r>
      <w:r>
        <w:rPr>
          <w:color w:val="231F20"/>
          <w:spacing w:val="-2"/>
        </w:rPr>
        <w:t> any</w:t>
      </w:r>
      <w:r>
        <w:rPr>
          <w:color w:val="231F20"/>
          <w:spacing w:val="-1"/>
        </w:rPr>
        <w:t> participation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key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academic-related </w:t>
      </w:r>
      <w:r>
        <w:rPr>
          <w:color w:val="231F20"/>
        </w:rPr>
        <w:t>decisions, such</w:t>
      </w:r>
      <w:r>
        <w:rPr>
          <w:color w:val="231F20"/>
          <w:spacing w:val="-1"/>
        </w:rPr>
        <w:t> </w:t>
      </w:r>
      <w:r>
        <w:rPr>
          <w:color w:val="231F20"/>
        </w:rPr>
        <w:t>as those </w:t>
      </w:r>
      <w:r>
        <w:rPr>
          <w:color w:val="231F20"/>
          <w:spacing w:val="-2"/>
        </w:rPr>
        <w:t>related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grading,</w:t>
      </w:r>
      <w:r>
        <w:rPr>
          <w:color w:val="231F20"/>
        </w:rPr>
        <w:t> </w:t>
      </w:r>
      <w:r>
        <w:rPr>
          <w:color w:val="231F20"/>
          <w:spacing w:val="-4"/>
        </w:rPr>
        <w:t>transfer,</w:t>
      </w:r>
      <w:r>
        <w:rPr>
          <w:color w:val="231F20"/>
          <w:spacing w:val="-1"/>
        </w:rPr>
        <w:t> evaluation,</w:t>
      </w:r>
      <w:r>
        <w:rPr>
          <w:color w:val="231F20"/>
        </w:rPr>
        <w:t> </w:t>
      </w:r>
      <w:r>
        <w:rPr>
          <w:color w:val="231F20"/>
          <w:spacing w:val="-2"/>
        </w:rPr>
        <w:t>awards,</w:t>
      </w:r>
      <w:r>
        <w:rPr>
          <w:color w:val="231F20"/>
          <w:spacing w:val="67"/>
        </w:rPr>
        <w:t> </w:t>
      </w:r>
      <w:r>
        <w:rPr>
          <w:color w:val="231F20"/>
        </w:rPr>
        <w:t>discipline, or </w:t>
      </w:r>
      <w:r>
        <w:rPr>
          <w:color w:val="231F20"/>
          <w:spacing w:val="-1"/>
        </w:rPr>
        <w:t>academic</w:t>
      </w:r>
      <w:r>
        <w:rPr>
          <w:color w:val="231F20"/>
        </w:rPr>
        <w:t> </w:t>
      </w:r>
      <w:r>
        <w:rPr>
          <w:color w:val="231F20"/>
          <w:spacing w:val="-2"/>
        </w:rPr>
        <w:t>status.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20" w:lineRule="exact" w:before="0" w:after="0"/>
        <w:ind w:left="2300" w:right="224" w:hanging="720"/>
        <w:jc w:val="left"/>
      </w:pP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</w:rPr>
        <w:t> individual who is, has been or </w:t>
      </w:r>
      <w:r>
        <w:rPr>
          <w:color w:val="231F20"/>
          <w:spacing w:val="-1"/>
        </w:rPr>
        <w:t>becomes</w:t>
      </w:r>
      <w:r>
        <w:rPr>
          <w:color w:val="231F20"/>
        </w:rPr>
        <w:t> </w:t>
      </w:r>
      <w:r>
        <w:rPr>
          <w:color w:val="231F20"/>
          <w:spacing w:val="-1"/>
        </w:rPr>
        <w:t>involved</w:t>
      </w:r>
      <w:r>
        <w:rPr>
          <w:color w:val="231F20"/>
        </w:rPr>
        <w:t> in an </w:t>
      </w:r>
      <w:r>
        <w:rPr>
          <w:color w:val="231F20"/>
          <w:spacing w:val="-1"/>
        </w:rPr>
        <w:t>amorous</w:t>
      </w:r>
      <w:r>
        <w:rPr>
          <w:color w:val="231F20"/>
        </w:rPr>
        <w:t> or </w:t>
      </w:r>
      <w:r>
        <w:rPr>
          <w:color w:val="231F20"/>
          <w:spacing w:val="-1"/>
        </w:rPr>
        <w:t>sexual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student must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remove </w:t>
      </w:r>
      <w:r>
        <w:rPr>
          <w:color w:val="231F20"/>
        </w:rPr>
        <w:t>himself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herself from</w:t>
      </w:r>
      <w:r>
        <w:rPr>
          <w:color w:val="231F20"/>
          <w:spacing w:val="-2"/>
        </w:rPr>
        <w:t> any</w:t>
      </w:r>
      <w:r>
        <w:rPr>
          <w:color w:val="231F20"/>
          <w:spacing w:val="-1"/>
        </w:rPr>
        <w:t> participation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key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employment-related </w:t>
      </w:r>
      <w:r>
        <w:rPr>
          <w:color w:val="231F20"/>
        </w:rPr>
        <w:t>decisions, such</w:t>
      </w:r>
      <w:r>
        <w:rPr>
          <w:color w:val="231F20"/>
          <w:spacing w:val="-1"/>
        </w:rPr>
        <w:t> </w:t>
      </w:r>
      <w:r>
        <w:rPr>
          <w:color w:val="231F20"/>
        </w:rPr>
        <w:t>as those </w:t>
      </w:r>
      <w:r>
        <w:rPr>
          <w:color w:val="231F20"/>
          <w:spacing w:val="-2"/>
        </w:rPr>
        <w:t>related</w:t>
      </w:r>
      <w:r>
        <w:rPr>
          <w:color w:val="231F20"/>
          <w:spacing w:val="-1"/>
        </w:rPr>
        <w:t> to</w:t>
      </w:r>
      <w:r>
        <w:rPr>
          <w:color w:val="231F20"/>
        </w:rPr>
        <w:t> hiring, </w:t>
      </w:r>
      <w:r>
        <w:rPr>
          <w:color w:val="231F20"/>
          <w:spacing w:val="-1"/>
        </w:rPr>
        <w:t>evaluation, </w:t>
      </w:r>
      <w:r>
        <w:rPr>
          <w:color w:val="231F20"/>
        </w:rPr>
        <w:t>or discipline.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580" w:right="119" w:hanging="72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supervisor</w:t>
      </w:r>
      <w:r>
        <w:rPr>
          <w:color w:val="231F20"/>
          <w:spacing w:val="-1"/>
        </w:rPr>
        <w:t> informed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amorous relationship </w:t>
      </w:r>
      <w:r>
        <w:rPr>
          <w:color w:val="231F20"/>
        </w:rPr>
        <w:t>shall </w:t>
      </w:r>
      <w:r>
        <w:rPr>
          <w:color w:val="231F20"/>
          <w:spacing w:val="-1"/>
        </w:rPr>
        <w:t>reassign </w:t>
      </w:r>
      <w:r>
        <w:rPr>
          <w:color w:val="231F20"/>
          <w:spacing w:val="-3"/>
        </w:rPr>
        <w:t>key</w:t>
      </w:r>
      <w:r>
        <w:rPr>
          <w:color w:val="231F20"/>
        </w:rPr>
        <w:t> </w:t>
      </w:r>
      <w:r>
        <w:rPr>
          <w:color w:val="231F20"/>
          <w:spacing w:val="-1"/>
        </w:rPr>
        <w:t>academic-related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rFonts w:ascii="Calibri"/>
          <w:color w:val="231F20"/>
          <w:spacing w:val="-2"/>
        </w:rPr>
        <w:t>employment-related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decisions</w:t>
      </w:r>
      <w:r>
        <w:rPr>
          <w:rFonts w:ascii="Calibri"/>
          <w:color w:val="231F20"/>
          <w:spacing w:val="-2"/>
        </w:rPr>
        <w:t> regarding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student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</w:rPr>
        <w:t>who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is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has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been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in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an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amorous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or</w:t>
      </w:r>
      <w:r>
        <w:rPr>
          <w:rFonts w:ascii="Calibri"/>
          <w:color w:val="231F20"/>
          <w:spacing w:val="-2"/>
        </w:rPr>
        <w:t> sexual</w:t>
      </w:r>
      <w:r>
        <w:rPr>
          <w:rFonts w:ascii="Calibri"/>
          <w:color w:val="231F20"/>
          <w:spacing w:val="66"/>
        </w:rPr>
        <w:t> </w:t>
      </w:r>
      <w:r>
        <w:rPr>
          <w:color w:val="231F20"/>
          <w:spacing w:val="-1"/>
        </w:rPr>
        <w:t>relationship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covered</w:t>
      </w:r>
      <w:r>
        <w:rPr>
          <w:color w:val="231F20"/>
        </w:rPr>
        <w:t> individual</w:t>
      </w:r>
      <w:r>
        <w:rPr>
          <w:color w:val="231F20"/>
          <w:spacing w:val="-1"/>
        </w:rPr>
        <w:t> to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</w:t>
      </w:r>
      <w:r>
        <w:rPr>
          <w:color w:val="231F20"/>
          <w:spacing w:val="-2"/>
        </w:rPr>
        <w:t>covered</w:t>
      </w:r>
      <w:r>
        <w:rPr>
          <w:color w:val="231F20"/>
          <w:spacing w:val="-1"/>
        </w:rPr>
        <w:t> </w:t>
      </w:r>
      <w:r>
        <w:rPr>
          <w:color w:val="231F20"/>
        </w:rPr>
        <w:t>individual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whom no</w:t>
      </w:r>
      <w:r>
        <w:rPr>
          <w:color w:val="231F20"/>
          <w:spacing w:val="-1"/>
        </w:rPr>
        <w:t> conflict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exists</w:t>
      </w:r>
      <w:r>
        <w:rPr>
          <w:color w:val="231F20"/>
        </w:rPr>
        <w:t> in making such decisions.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20" w:lineRule="exact" w:before="0" w:after="0"/>
        <w:ind w:left="1580" w:right="602" w:hanging="720"/>
        <w:jc w:val="left"/>
      </w:pPr>
      <w:r>
        <w:rPr>
          <w:color w:val="231F20"/>
          <w:spacing w:val="-1"/>
        </w:rPr>
        <w:t>Violators</w:t>
      </w:r>
      <w:r>
        <w:rPr>
          <w:color w:val="231F20"/>
        </w:rPr>
        <w:t> of this policy shall be subject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warning,</w:t>
      </w:r>
      <w:r>
        <w:rPr>
          <w:color w:val="231F20"/>
        </w:rPr>
        <w:t> </w:t>
      </w:r>
      <w:r>
        <w:rPr>
          <w:color w:val="231F20"/>
          <w:spacing w:val="-1"/>
        </w:rPr>
        <w:t>reprimand</w:t>
      </w:r>
      <w:r>
        <w:rPr>
          <w:color w:val="231F20"/>
        </w:rPr>
        <w:t> or other disciplinary </w:t>
      </w:r>
      <w:r>
        <w:rPr>
          <w:color w:val="231F20"/>
          <w:spacing w:val="-1"/>
        </w:rPr>
        <w:t>procedures</w:t>
      </w:r>
      <w:r>
        <w:rPr>
          <w:color w:val="231F20"/>
        </w:rPr>
        <w:t> 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University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regulations.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3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EFFECTIVE:</w:t>
      </w:r>
      <w:r>
        <w:rPr>
          <w:rFonts w:ascii="Arial"/>
          <w:color w:val="231F20"/>
          <w:spacing w:val="-11"/>
          <w:sz w:val="18"/>
        </w:rPr>
        <w:t> </w:t>
      </w:r>
      <w:r>
        <w:rPr>
          <w:rFonts w:ascii="Arial"/>
          <w:color w:val="231F20"/>
          <w:sz w:val="18"/>
        </w:rPr>
        <w:t>Immediate</w:t>
      </w:r>
      <w:r>
        <w:rPr>
          <w:rFonts w:ascii="Arial"/>
          <w:sz w:val="18"/>
        </w:rPr>
      </w:r>
    </w:p>
    <w:p>
      <w:pPr>
        <w:tabs>
          <w:tab w:pos="9650" w:val="right" w:leader="none"/>
        </w:tabs>
        <w:spacing w:before="127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z w:val="18"/>
        </w:rPr>
        <w:t>PS </w:t>
      </w:r>
      <w:r>
        <w:rPr>
          <w:rFonts w:ascii="Arial"/>
          <w:color w:val="231F20"/>
          <w:spacing w:val="-1"/>
          <w:sz w:val="18"/>
        </w:rPr>
        <w:t>14-05</w:t>
        <w:tab/>
      </w:r>
      <w:r>
        <w:rPr>
          <w:rFonts w:ascii="Arial"/>
          <w:color w:val="231F20"/>
          <w:sz w:val="18"/>
        </w:rPr>
        <w:t>1</w:t>
      </w:r>
      <w:r>
        <w:rPr>
          <w:rFonts w:ascii="Arial"/>
          <w:sz w:val="18"/>
        </w:rPr>
      </w:r>
    </w:p>
    <w:sectPr>
      <w:type w:val="continuous"/>
      <w:pgSz w:w="12240" w:h="15840"/>
      <w:pgMar w:top="80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ind w:left="2300" w:hanging="720"/>
        <w:jc w:val="left"/>
      </w:pPr>
      <w:rPr>
        <w:rFonts w:hint="default" w:ascii="Calibri" w:hAnsi="Calibri" w:eastAsia="Calibri"/>
        <w:color w:val="231F20"/>
        <w:sz w:val="20"/>
        <w:szCs w:val="20"/>
      </w:rPr>
    </w:lvl>
    <w:lvl w:ilvl="3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hint="default" w:ascii="Times New Roman" w:hAnsi="Times New Roman" w:eastAsia="Times New Roman"/>
        <w:color w:val="231F20"/>
        <w:sz w:val="20"/>
        <w:szCs w:val="20"/>
      </w:rPr>
    </w:lvl>
    <w:lvl w:ilvl="2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0" w:hanging="7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2014-07-16T09:11:38Z</dcterms:created>
  <dcterms:modified xsi:type="dcterms:W3CDTF">2014-07-16T09:11:38Z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2014-07-16T00:00:00Z</vt:filetime>
  </property>
</Properties>
</file>